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98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4260" w:right="720" w:hanging="3534"/>
        <w:spacing w:after="0" w:line="537" w:lineRule="auto"/>
        <w:tabs>
          <w:tab w:leader="none" w:pos="92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001-42647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128905</wp:posOffset>
            </wp:positionV>
            <wp:extent cx="2846070"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73-265-6600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Johnathan Alexander Assia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USA LLC</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221 River St 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Hoboken, NJ 07030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+1 201-479-0267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investors@etoro.com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shares, no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ETOR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the number of outstanding shares of each of the issuer’s classes of capital or common stock as of the close of the period covered by the annual report: </w:t>
      </w:r>
      <w:r>
        <w:rPr>
          <w:rFonts w:ascii="Times New Roman" w:cs="Times New Roman" w:eastAsia="Times New Roman" w:hAnsi="Times New Roman"/>
          <w:sz w:val="18"/>
          <w:szCs w:val="18"/>
          <w:b w:val="1"/>
          <w:bCs w:val="1"/>
          <w:color w:val="auto"/>
        </w:rPr>
        <w:t>As of December 31, 2025, the registrant had outstanding 68,647,904 Class A common shares, no par value, and 14,203,518 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no par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877" w:right="339" w:bottom="1440" w:gutter="0" w:footer="0" w:header="0"/>
        </w:sectPr>
      </w:pP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8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jc w:val="center"/>
        <w:ind w:right="8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240" w:space="720"/>
            <w:col w:w="3500" w:space="720"/>
            <w:col w:w="3060"/>
          </w:cols>
          <w:pgMar w:left="320" w:top="877"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709" w:lineRule="exact"/>
        <w:rPr>
          <w:sz w:val="20"/>
          <w:szCs w:val="20"/>
          <w:color w:val="auto"/>
        </w:rPr>
      </w:pPr>
    </w:p>
    <w:p>
      <w:pPr>
        <w:sectPr>
          <w:pgSz w:w="11900" w:h="16838" w:orient="portrait"/>
          <w:cols w:equalWidth="0" w:num="3">
            <w:col w:w="3120" w:space="720"/>
            <w:col w:w="3540" w:space="260"/>
            <w:col w:w="3600"/>
          </w:cols>
          <w:pgMar w:left="320" w:top="87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5040" w:hanging="200"/>
        <w:spacing w:after="0" w:line="207" w:lineRule="exact"/>
        <w:tabs>
          <w:tab w:leader="none" w:pos="50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2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ETORO GROUP LTD.</w:t>
            </w:r>
          </w:p>
        </w:tc>
        <w:tc>
          <w:tcPr>
            <w:tcW w:w="1600" w:type="dxa"/>
            <w:vAlign w:val="bottom"/>
          </w:tcPr>
          <w:p>
            <w:pPr>
              <w:spacing w:after="0"/>
              <w:rPr>
                <w:sz w:val="20"/>
                <w:szCs w:val="20"/>
                <w:color w:val="auto"/>
              </w:rPr>
            </w:pPr>
          </w:p>
        </w:tc>
      </w:tr>
      <w:tr>
        <w:trPr>
          <w:trHeight w:val="41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7"/>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FORM 20-F</w:t>
            </w:r>
          </w:p>
        </w:tc>
        <w:tc>
          <w:tcPr>
            <w:tcW w:w="1600" w:type="dxa"/>
            <w:vAlign w:val="bottom"/>
          </w:tcPr>
          <w:p>
            <w:pPr>
              <w:spacing w:after="0"/>
              <w:rPr>
                <w:sz w:val="24"/>
                <w:szCs w:val="24"/>
                <w:color w:val="auto"/>
              </w:rPr>
            </w:pPr>
          </w:p>
        </w:tc>
      </w:tr>
      <w:tr>
        <w:trPr>
          <w:trHeight w:val="238"/>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00" w:type="dxa"/>
            <w:vAlign w:val="bottom"/>
            <w:gridSpan w:val="20"/>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ANNUAL REPORT FOR THE FISCAL YEAR ENDED DECEMBER 31, 2025</w:t>
            </w:r>
          </w:p>
        </w:tc>
        <w:tc>
          <w:tcPr>
            <w:tcW w:w="16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1"/>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78"/>
              </w:rPr>
              <w:t>i</w:t>
            </w:r>
          </w:p>
        </w:tc>
      </w:tr>
      <w:tr>
        <w:trPr>
          <w:trHeight w:val="216"/>
        </w:trPr>
        <w:tc>
          <w:tcPr>
            <w:tcW w:w="9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9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gridSpan w:val="2"/>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9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20" w:type="dxa"/>
            <w:vAlign w:val="bottom"/>
            <w:gridSpan w:val="6"/>
            <w:shd w:val="clear" w:color="auto" w:fill="CCEEFF"/>
          </w:tcPr>
          <w:p>
            <w:pPr>
              <w:jc w:val="center"/>
              <w:ind w:right="370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1600" w:type="dxa"/>
            <w:vAlign w:val="bottom"/>
            <w:shd w:val="clear" w:color="auto" w:fill="CCEEFF"/>
          </w:tcPr>
          <w:p>
            <w:pPr>
              <w:spacing w:after="0"/>
              <w:rPr>
                <w:sz w:val="17"/>
                <w:szCs w:val="17"/>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102</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114</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132</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133</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20" w:type="dxa"/>
            <w:vAlign w:val="bottom"/>
            <w:gridSpan w:val="6"/>
            <w:shd w:val="clear" w:color="auto" w:fill="CCEEFF"/>
          </w:tcPr>
          <w:p>
            <w:pPr>
              <w:jc w:val="center"/>
              <w:ind w:right="372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1600" w:type="dxa"/>
            <w:vAlign w:val="bottom"/>
            <w:shd w:val="clear" w:color="auto" w:fill="CCEEFF"/>
          </w:tcPr>
          <w:p>
            <w:pPr>
              <w:spacing w:after="0"/>
              <w:rPr>
                <w:sz w:val="17"/>
                <w:szCs w:val="17"/>
                <w:color w:val="auto"/>
              </w:rPr>
            </w:pP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134</w:t>
            </w:r>
          </w:p>
        </w:tc>
      </w:tr>
      <w:tr>
        <w:trPr>
          <w:trHeight w:val="216"/>
        </w:trPr>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5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134</w:t>
            </w:r>
          </w:p>
        </w:tc>
      </w:tr>
      <w:tr>
        <w:trPr>
          <w:trHeight w:val="655"/>
        </w:trPr>
        <w:tc>
          <w:tcPr>
            <w:tcW w:w="9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90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16A.</w:t>
            </w:r>
          </w:p>
        </w:tc>
        <w:tc>
          <w:tcPr>
            <w:tcW w:w="72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286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86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7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8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860" w:type="dxa"/>
            <w:vAlign w:val="bottom"/>
            <w:shd w:val="clear" w:color="auto" w:fill="CCEEFF"/>
          </w:tcPr>
          <w:p>
            <w:pPr>
              <w:ind w:left="2220"/>
              <w:spacing w:after="0" w:line="176" w:lineRule="exact"/>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6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r>
      <w:tr>
        <w:trPr>
          <w:trHeight w:val="196"/>
        </w:trPr>
        <w:tc>
          <w:tcPr>
            <w:tcW w:w="8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INDEX TO FINANCIAL STATEMENTS</w:t>
            </w:r>
          </w:p>
        </w:tc>
        <w:tc>
          <w:tcPr>
            <w:tcW w:w="2860" w:type="dxa"/>
            <w:vAlign w:val="bottom"/>
            <w:shd w:val="clear" w:color="auto" w:fill="CCEEFF"/>
          </w:tcPr>
          <w:p>
            <w:pPr>
              <w:ind w:left="22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655"/>
        </w:trPr>
        <w:tc>
          <w:tcPr>
            <w:tcW w:w="1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0" w:type="dxa"/>
            <w:vAlign w:val="bottom"/>
            <w:tcBorders>
              <w:top w:val="single" w:sz="8" w:color="CCEEFF"/>
              <w:bottom w:val="single" w:sz="8" w:color="auto"/>
            </w:tcBorders>
          </w:tcPr>
          <w:p>
            <w:pPr>
              <w:spacing w:after="0"/>
              <w:rPr>
                <w:sz w:val="24"/>
                <w:szCs w:val="24"/>
                <w:color w:val="auto"/>
              </w:rPr>
            </w:pPr>
          </w:p>
        </w:tc>
        <w:tc>
          <w:tcPr>
            <w:tcW w:w="2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annual report, the terms “eToro,” “we,” “us,” “our” and “the Company” refer to eToro Group Ltd. and its subsidiaries.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includes statistical,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 Certain estimates and forecasts involve uncertainties and risks and are subject to change based on various factors, including those discussed under the headings “Special Note Regarding Forward-Looking Statements” and “Item 3.D. Risk Factors” in this annual report. Additionally, website and document references throughout this annual report are provided for convenience only, and the content on the referenced websites or documents is not incorporated by reference into this annual report unless expressly stated.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eToro word mark, “eToro,” and our other registered or common law trademarks, service marks or tradenames appearing in this annual report are the property of eToro Group Ltd. Solely for convenience, our trademarks, tradenames and service marks referred to in this annual report appear without</w:t>
      </w: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to these trademarks, tradenames and service marks. This annual report contains additional trademarks, tradenames and service marks of other companies that are the property of their respective owners.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Glossary of Terms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certain defined terms and acronyms used throughout this annual report on Form 20-F.</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“A&amp;R memorandum and articles” means the Company’s Amended and Restated Memorandum and Articles of Association.</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means anti-money laundering.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“APF” anti-proliferation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 means the Australian Securities and Investments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means the British Virgin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“CASPs” means Crypto-Asset Service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“CCPA” means the California Consumer Privacy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“CFTC” means the Commodity Futures Trading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“CMSL” means the Capital Markets Services Licence.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U.S. Internal Revenue Code of 1986,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means our Class A common shares and Class B common shares, collectively.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British Virgin Islands Business Companies Act of 2004, as revised.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“CTF” means counter-terrorism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“CySEC” means the Cyprus Securities and Exchange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 means decentralized finance.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“DPF” means the E.U.-U.S. Data Privacy Framework.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“DSA” means Digital Services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GDPR” means the European Union General Data Protection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“EEA” means the European Economic Area.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“ESMA” means the European Securities and Markets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means exchange-traded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“FCA” means the U.K. Financial Conduct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means the Financial Industry Regulatory Authority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“GDPR” means the U.K. GDPR, together with the E.U. GDPR.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U.S. Internal Revenue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 means the Monetary Authority of Singapore.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6" w:name="page7"/>
    <w:bookmarkEnd w:id="6"/>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“MiCA” means the Markets in Crypto-Assets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“MNEs” means multinational enterprises.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 means the New Israeli Shekel.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“OECD” means the Organization for Economic Cooperation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 means the U.S. Department of Treasury’s Office of Foreign Assets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“OSC” means the Ontario Securities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“OSS” means open source software.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“PCI-DSS” means the Payment Card Industry Data Security Standard.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shareholders” means shareholders that held shares immediately prior to the closing of our initial public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“PSD 3” means the Payment Services Directive.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GDPR” means the U.K. General Data Protection Regulation and Data Protection Act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also see “Item 4.B. Business Overview” for a discussion of other terms that are relevant to our business operations such as: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CopyTrader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eToro Academy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eToro Club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eToro Money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Investor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Tori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Smart Portfolios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Additionally, the Company’s management uses the following key performance metrics to help evaluate the business, measure its performance, identify trends, prepare financial projections and make business decisions:</w:t>
      </w:r>
    </w:p>
    <w:p>
      <w:pPr>
        <w:spacing w:after="0" w:line="1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Contribution, consisting of five components</w:t>
      </w:r>
    </w:p>
    <w:p>
      <w:pPr>
        <w:spacing w:after="0" w:line="225" w:lineRule="exact"/>
        <w:rPr>
          <w:sz w:val="20"/>
          <w:szCs w:val="20"/>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Trading Contribution (Equities, Commodities and Currencies)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Trading Contribution (Cryptoassets)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Interest Contribution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eToro Money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 and Other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Funded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Trades and Net Trading Contribution Per Trade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Assets Under 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definitions and discussion, see “Item 5. Operating and Financial Review and Prospects—Key Performance Metrics.”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historical facts, this annual report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These forward-looking statements are subject to risks and uncertainties and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forward-looking statements are based on our beliefs, assumptions and expectations of future performance. There are important factors that could cause our actual results, levels of activity, performance or achievements to differ materially from the results, levels of activity, performance or achievements expressed or implied by the forward-looking statements, including, but not limited to:</w:t>
      </w:r>
    </w:p>
    <w:p>
      <w:pPr>
        <w:spacing w:after="0" w:line="18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volatility and erratic market movements;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existing users or adding new 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and legal framework under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inquiries and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cryptoasset market, including the regulations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related to our operations in Israel, including the ongoing war;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data security and privacy and use of 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accounting principles and guidelines;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offering, the ability to maintain the listing of our securities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in the section titled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you should consider the risks provided under “Item 3.D. Risk Factors” in this annual report.</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Additionally, we may provide information, forward-looking or otherwise, herein or in other locations, such as our corporate website that is not necessarily “material” under the U.S. federal securities laws for Securities Exchange Commission (SEC) reporting purposes, but that responds to a range of matters, such as certain sustainability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or quality of information, changes in our business or applicable government policies, or other factors, some of which may be beyond our control. Except as required by law, we undertake no obligation to update publicly any forward-looking statements for any reason after the date of this annual report, to conform these statements to actual results or to changes in our expectations.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Important factors that could cause actual results, levels of activity, performance or achievements to differ materially from expectations are disclosed in this annual report, including without limitation the following risk factors. Investors should carefully consider all the information set forth in the following risk factors and elsewhere in this annual report before deciding to invest in any of the Company’s securities. In addition to the risks listed below, we may be subject to other material risks that as of the date of this annual report are not currently known to us or that we deem immaterial at this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and will significantly fluctuate from period to period, including due to market volatility.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conditions of the various markets in which we offer our services (such as securities markets, cryptoasset markets, currency markets, commodities markets and payment services markets) and the level of trading activity in such markets. During the past few years, our operating results have and will continue to fluctuate significantly from period to period in accordance with market sentiments and volatility in the global financial markets, in particular with respect to cryptoassets, as a result of many factors that are unpredictable and outside of our control, including local and international political turmoil and general economic conditions and the occurrence of any of the other risks described elsewhere in this annual report. Such market volatility has historically resulted in similar, but unpredictable, volatility in the number of our users, including users who have completed KYC, AML and other onboarding processes, activated their account, deposited funds, executed at least one trade at any time and have a positive account balance (invested or uninvested) (“Funded Accounts”) and the level of their trading activity. As a result, our results of operations and other operating metrics have fluctuated, and may in the future continue to fluctuate, significantly from period to period.</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the directional impact of any market volatility on our user activity is also unpredictable. For example, the recent imposition of broad-based tariffs on imports from major trading partners and retaliatory measures by affected countries, has caused substantial volatility in global equity, commodity, currency and cryptoasset markets, and such volatility may continue as trade policy fluctuates. Additionally, rapid shifts in investor sentiment technology and software companies, including sector-wide revaluations driven by the perceived impact of artificial intelligence on existing business models, which have in recent periods resulted in significant and abrupt declines in the market capitalizations of companies across the technology and software sectors. While such periods of heightened volatility may temporarily increase trading volumes on our platform, prolonged macroeconomic uncertainty, trade policy disruptions, recession fears, or sustained geopolitical tensions may reduce consumer confidence, diminish disposable income available for investment, and lead to decreased user engagement and lower funded account balances.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values of securities have an impact on our Net income (loss), and such values may fluctuate period to period. Decreases in market values of securities or other financial instruments, specifically cryptoassets, can decrease our Net Contribution and profitability from transaction execution activities and increase our counterparty default risk, liquidity and credit risk with respect to our user accounts. Lower price levels of securities and other financial instruments, as well as compressed spreads, which often follow lower pricing, can further result in reduced Net Contribution and Net income (loss).As a result of the foregoing, period to period comparisons of our performance may not be meaningful, and historical results should not be relied upon as indicators of future outcomes and any future changes in market volatility and investor appetite could have a material adverse effect on our business, financial condition, cash flows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suffer losses due to abrupt and erratic market movements, which may cause us to be unable to execute or adjust our risk management practices in a timely manner, which could result in potential losses.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Sudden movements in the markets in which we are regulated or serve users may result in us being unable to execute or adjust our risk management practices in a timely manner, which could result in potential losses. Our market risk analysis is based on, among other things, regular scenario-based stress tests and value at risk analysis and may not be able to fully anticipate extreme market conditions.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the decentralized and non-regulated nature of cryptoassets, the cryptoasset market has been characterized by significant volatility and unexpected price movements. Further, stock run-ups, divergences in valuation ratios relative to those seen during traditional markets, high short interest or “short squeezes,” or strong and atypical retail investor interest in the markets may significantly affect our business. In addition, when conducting our trading activities, we do so predominantly as a principal and therefore hold positions that are at risk of significant price fluctuations, rapid changes in the liquidity of markets, deterioration in the creditworthiness of our counterparties and other risks that may cause the value of our positions to decline, which would lead to greater losses.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begun offering 24/7 access to selected financial assets, enabling trading outside of regular market hours and over weekends. Extended-hours trading is supported by alternative trading venues and carries heightened risks, including reduced liquidity, increased price volatility, wider spreads, and limited execution capabilities relative to primary market sessions. Service disruptions arising from technical failures, operational errors, regulatory changes, or market volatility have in the past, and may in the future, impair our ability to execute client orders during market off hours, result in negative user experiences, and adversely affect our business, financial condition, results of operations, and reputation.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invested significant resources in developing risk management policies and procedures, but we cannot guarantee their effectiveness. Our framework relies on technical systems and human oversight, both subject to errors and limitations, and incorporates discretionary strategies based on historical data and industry practices, which may not account for extreme or unprecedented market events. Reassessments of our policies may reveal gaps requiring additional resources and management attention. Furthermore, technical errors or adjustments to increase risk tolerance could expose us to greater losses.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periods of erratic or unexpected market movements can cause a “liquidity vacuum,” which occurs when market spreads for financial instruments become disparate enough that dealing with them becomes prohibitively expensive. There is a risk that we may not have sufficient liquidity to support trades made in a liquidity vacuum, which could adversely impact our financial condition and results of operations. In addition, users may be dissatisfied and file claims if we are not capable of ultimately settling their trades.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users or add new users, or if our users decrease their level of engagement with our platform, our business, financial condition, cash flows and results of operations may be materially and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retain existing users and attract new users to increase engagement with our platform. To do so, we must continue to ensure that our products and services are secure, reliable and engaging. We must also expand our products and services, and offer competitive prices in an increasingly crowded, price-sensitive and competitive market. Our ability to retain existing users and grow new users and user engagement could be affected by several factors, including: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demand shifting to other products and services, including those that we are unable to offer due to regulatory reasons;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introduce new and improved products and services that are favorably received, including, migration of our more mature and affluent users to more advanced and diversified financial platforms which include wealth management, retirement planning, and advisory capabilities that we do not currently offer or that are not yet available in all of our markets;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support new and in-demand asset classes or if we elect to support certain asset classes with negative reputations;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declines in equity, crypotassets, or other financial markets, which may discourage retail investor participation and reduce trading activity on our platforms;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that reduce household disposable income available for investment;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user sentiment about the quality or usefulness of our platform, including from concerns related to privacy, security, regulatory compliance or other factors;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products and services that are mandated by legislation, regulatory authorities or litigation;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access markets in certain jurisdictions due to legislation, regulatory requirements, or interventions by regulatory authorities;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dissatisfaction with the social nature of our platform or expressing negative opinions about our service that are amplified by our social platform;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user perception regarding the cryptoassets on our platform either as a result of media coverage or by experiencing significant losses in such investments on our platform;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preventing us from delivering our products and services with the speed, functionality, security and reliability that our users expect;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employee or service provider misconduct or other unforeseen activities causing losses to us or our users, including losses to assets held by us on behalf of our users;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pricing model or modifications by competitors to their pricing models;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provide adequate customer service;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relating to our business, competitors or the industry as a whole.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certain of these factors have negatively affected, and may continue to negatively affect, user retention, growth and engagement to varying degrees. Any decrease in user retention, growth or engagement could render our products and services less attractive to users and may have a material adverse effect on our revenue, business, financial condition, cash flows and results of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including high-volume traders. As a result, we have historically, and expect to continue to, incur significant costs and expenses to develop and upgrade our technical infrastructure to meet the evolving needs of the industry.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real-time services in volatile markets, our users are exposed to the risk of loss on their investments and positions and user satisfaction may be severely negatively impacted as a result, which may lead to an increased risk of user complaints, litigation and reputational harm and could have a material adverse effect on our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highly susceptible to user disgruntlement and dissatisfaction and to loss of users if users are unable to execute trades as desired. In case of sudden, large price movements, some leveraged market participants may not be able to meet their obligations to us or other brokers who, in turn, may not be able to meet their obligations to their counterparties. We calculate leverage requirements for each of our users on a real-time basis across certain product classes, such as equities, futures, derivatives, cryptoassets and other financial instruments and across all currencies. Recognizing that our users have a range of investing experience, we provide tools to facilitate our users’ position management. In light of the current turbulence in the global economy, we face increased risk of default by our users and other counterparties.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social nature of our platform may encourage dissatisfied users to share information about bad experiences on our platform, which could result in reputational harm and loss of users and trading volume. User dissatisfaction could lead to an increased risk of user complaints and litigation and increased regulatory scrutiny. Provisions typically included in our user agreements that attempt to limit our exposure to claims may not be enforceable or adequate to protect us from liability with respect to any particular claim. Even if not successful, a claim brought against us by any of our users, and any related regulatory engagement or review, would likely be time-consuming, costly to manage and defend, divert the attention of management and could seriously damage our reputation and brand, which could have a material adverse effect on our business, financial condition, cash flows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many of our competitors may have products or service offerings that may appeal to our current or potential users.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industries in which we operate are highly competitive, and we expect competition to further intensify in the future as existing and new competitors introduce new products or enhance existing products. As a global, multi-asset investment platform with a variety of offerings, we have a diverse set of competitors including both large, traditional financial institutions and smaller market participants who may operate in a regional capacity such as regional brokers. We primarily compete with high growth fintech companies that are focused on user experience and provide a variety of financial services, as well as high-growth international brokers and tech-led brokers that provide self-directed, multi-asset investment services. We also compete with large, traditional financial institutions, such as retail banks, neo-banks, private banks and wealth management firms. These institutions have been expanding their offerings to provide further choice for retail investors. In addition, fintech companies operating in adjacent markets are increasingly entering the wealth management and investment industries. Due to our cryptoasset offerings, we also compete with centralized and decentralized exchanges, non-custodial platforms, wallets and investment platforms that offer access to cryptoassets which are, in many instances, less subject to stringent regulatory and compliance requirements in their local jurisdictions. Additionally, the growth of spot cyrptoasset exchange-traded products may reduce demand for direct cyrptoasset trading on our platform, compress cryptoassets spreads and adversely affect our cryptoasset-related revenue.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 market continues to grow, we expect that we will face increased competition from both new entrants and existing players. Some of our competitors, particularly new and emerging technology companies, are unregulated or are subject to less stringent regulatory requirements than those applicable to us. This may allow them to more quickly adapt to trends, support a greater number or broader range of assets, develop and launch new products and services more rapidly, market their products more efficiently, and attract more users, placing us at a significant competitive disadvantage. We incur, and expect to continue to incur, significant managerial, operational, and compliance costs to meet applicable regulatory requirements across our jurisdictions, costs that less-regulated competitors may not bear. For a discussion of the regulations we are subject to, see ”—</w:t>
      </w:r>
      <w:r>
        <w:rPr>
          <w:rFonts w:ascii="Times New Roman" w:cs="Times New Roman" w:eastAsia="Times New Roman" w:hAnsi="Times New Roman"/>
          <w:sz w:val="18"/>
          <w:szCs w:val="18"/>
          <w:i w:val="1"/>
          <w:iCs w:val="1"/>
          <w:color w:val="auto"/>
        </w:rPr>
        <w:t>Our business is subject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extensive, complex, overlapping and constantly changing regulatory landscape and any adverse changes to, or our failure to comply with, any laws and regulations could adversely affect our business, financial condition, cash flows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some of our competitors may have longer operating histories or offer a wider range of products and services, have more established brand recognition, larger user bases, stronger market acceptance and greater financial, marketing, technological and personnel resources than we do. Further, certain larger and better capitalized competitors, or which large user base, may have access to capital in greater amounts and at lower costs than we do, and thus, may be better able to respond to changes in the industries in which we operate, to compete for skilled professionals, to finance acquisitions, to fund internal growth and to compete for market share generally. In particular, as artificial intelligence becomes an increasingly important competitive differentiator in financial services, larger competitors with greater access to proprietary data, computational resources, and AI talent may be able to develop and scale AI-powered products and features more quickly than we can, or acquire AI capabilities through strategic transactions that we are unable to match. These advantages may enable them, among other things, to:</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and services that are similar or more attractive to users in one or more of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technology, including execution and clearing services, that are more rapid, reliable or efficient or less expensive than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products and services at lower prices to gain market share and to promote other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in certain jurisdictions at lower compliance costs and with greater flexibility to introduce new products and services;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more heavily in artificial intelligence and machine learning capabilities, enabling them to develop and deploy AI-powered trading tools, personalization features, and automated investment strategies more rapidly or at greater scale than we can, potentially attracting users who prioritize AI-driven functionality;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at a faster rate to regulatory changes, market conditions, new technologies and user demands;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outbid us for desirable acquisition targets;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efficiently engage in and expand existing relationships with our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promote and sell their products and services more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stronger relationships with 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banks or e-wallet service providers, prevent users from depositing funds with us in an effort to promote their own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liquidity providers (for cryptoassets and other assets), limit our access to liquidity.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not able to differentiate our products and services from those of our competitors, drive value for our users or effectively and efficiently align our resources with our goals and objectives, we may not be able to compete effectively in the markets in which we operate, which could materially and adversely affect our business, financial condition, cash flows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growth rates may not be indicative of our future growth. Although we have experienced significant growth in the past, we may be unable to effectively manage our growth which could negatively impact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in our business and operations since our inception and particularly in recent years. For the year ended December 31, 2025, net growth in Funded Accounts was over 0.3 million, compared to approximately 0.4 million net growth in Funded Accounts for the year ended December 31, 2024 and approximately 0.2 million net growth in Funded Accounts for the year ended December 31, 2023. We generated Net income of $216 million for the year ended December 31, 2025, compared to $192 million for the year ended December 31, 2024 and Net income of $15 million for the year ended December 31, 2023. In 2025, we had Net Contribution of $868 million, representing year-over-year growth of 10% and in 2024, we had Net Contribution of $788 million, representing year-over-year growth of 42%. Such historical growth rates may not be indicative of our future growth, and we may not be able to maintain similar growth rates in the future. For instance, our growth of Funded Accounts has in the past, and may in the future, result from acquisitions of companies who have existing Funded Accounts on their platforms. In 2024, our acquisition of the Australian investing app, Spaceship, resulted in an increase of Funded Accounts for the year ended December 31, 2024 of approximately 0.2 million whereas no growth in Funded Accounts was recorded during the year ended December 31, 2023. Our inorganic growth rates are unpredictable, as we may not acquire new companies at the same rate as in the past, if at all. See “—</w:t>
      </w:r>
      <w:r>
        <w:rPr>
          <w:rFonts w:ascii="Times New Roman" w:cs="Times New Roman" w:eastAsia="Times New Roman" w:hAnsi="Times New Roman"/>
          <w:sz w:val="18"/>
          <w:szCs w:val="18"/>
          <w:i w:val="1"/>
          <w:iCs w:val="1"/>
          <w:color w:val="auto"/>
        </w:rPr>
        <w:t>Any investments, acquisitions, partnerships or joint ventures that we make or enter into could require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attention, disrupting our business and harming our financial condition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declines in the growth rates of our business, or negative growth, as a result of a number of external factors, including slowing demand for our platform, insufficient growth in the number of users that utilize our platform, declines in the level of usage of our platform by existing users, macroeconomic factors, increasing competition, changes in rules and regulations which we are or may become subject to, a decrease in the growth of our overall market or our failure to continue to capitalize on growth opportunities, including as a result of our inability to scale to meet such growth. Any failure to successfully address these risks and challenges as we encounter them will negatively affect our growth and if our growth rate declines, investors’ perception of our business and the trading price of our Class A common shares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execute our users’ trades, enter into hedge trades and provide payment services to our users are dependent upon our banking infrastructure and our liquidity providers and payment providers.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third-party financial institutions to provide us with liquidity, payment processing and banking services. If we are unable to maintain relationships with such parties and enter into new arrangements, we may be unable to execute our users’ trades, enter into hedge trades or provide our users with payment processing services, and our business and financial performance could be negatively affected and we may encounter a reduction in user confidence. Our relationships with liquidity providers give us access to a pool of liquidity, which ensures that we are able to execute our users’ trades and allow us to enter into hedge transactions. These trading partners, although under contract with us, have no obligation to provide us with liquidity and may terminate our arrangements at any time. In the event that we no longer have access to the levels of liquidity that we currently have, we may be unable to provide competitive trading services or enter into risk management transactions, which will materially and adversely affect our business, financial condition, cash flows and results of operations. Furthermore, with respect to cryptoassets, we source liquidity using liquidity providers that may not be regulated financial institutions and as such are exposed to increased risks related to, among others, insolvency, credit and money laundering. See “—</w:t>
      </w:r>
      <w:r>
        <w:rPr>
          <w:rFonts w:ascii="Times New Roman" w:cs="Times New Roman" w:eastAsia="Times New Roman" w:hAnsi="Times New Roman"/>
          <w:sz w:val="18"/>
          <w:szCs w:val="18"/>
          <w:i w:val="1"/>
          <w:iCs w:val="1"/>
          <w:color w:val="auto"/>
        </w:rPr>
        <w:t>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to comply with certain laws related to sanctions, fraud, AML, CTF, APF and anti-bribery and corruption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rely on banking and other financial institutions for the ability to provide cash and asset custody, execution services and other financial and banking services. Any changes in our ability to access such services could significantly harm our business. For example, if banking institutions determine not to provide banking services to businesses such as ours, for reasons outside of our control, or if banking institutions implement strenuous restrictions on our ability to access their services, our banking infrastructure could be harmed and we could be limited from operating in certain jurisdictions or providing certain products or services. Furthermore, many banking and other financial institutions impose their own compliance policies. If we do not satisfy such policies, or if the policies change and we are unable to quickly and efficiently implement changes in our organization to comply with such polices, we may be further limited in our access to certain banking and other financial institutions.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rely on payment services providers (such as payment processing and settlement services) to issue eToro Money cards and process transactions, for which we pay fees for their services. Payment card networks have in the past, and may in the future, increased the interchange fees that they charge for transactions via their networks. Payment card networks have also imposed, and may impose in the future, special fees or assessments for transactions that are executed through a digital wallet such as ours. Any such fee increases could significantly increase our operating costs and reduce our profitability. If we are unable to accept payment cards or otherwise unable to process payments, our business, financial condition, cash flows and results of operations would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directly and indirectly exposed to fluctuations in interest rates, and rapidly changing interest rate environments could reduce our Net income (loss) and otherwise result in reduced profitability.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portion of our Net income (loss) is derived from Net interest income from users, which is principally derived from a fee charged on margin positions which remain open overnight when a user executes a margin transaction, as well as Other interest income, which is income earned on our corporate cash. The portion of our Net income (loss) that is derived from Net interest income from users and Other interest income fluctuates significantly based on the level of interest rates, which is influenced by factors beyond our control. The interest rate environment that prevailed from 2022 through mid-2025, during which central banks raised and maintained policy rates at elevated levels, led to an increase in the share of our Net income (loss), and cash flows attributable to interest income. A reduction in interest rates or a return to a low-rate environment would likely reduce our Net interest income from users and cash flows, or reduce returns on user cash deposits, which could negative impact user satisfaction. We cannot predict with certainty how investors will react when interest rates increase or decrease.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the composition or levels of interest-earning balances, particularly if users redirect funds towards interest-bearing accounts rather than spending on higher-margin products and services, may further depress our Net income (loss) and cash flows. Higher interest rates may also increase our users’ payment obligations on mortgages, credit cards and other loans, potentially impairing their ability to fulfill financial obligations to us. This could result in increased delinquencies, charge-offs and allowances for loan and interest receivables, which could adversely impact our Net income (loss). Furthermore, fluctuating interest rates may affect our users’ overall spending patterns, willingness to invest and specifically their engagement on our platform, which could adversely affect our growth and revenue prospects. In addition, regulators may in the future impose restrictions on firms such as ours being able to earn interest on users’ underlying balances held on behalf of our users, which would reduce our Net interest income from users and, consequently, negatively impact our Net income (loss)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or if there is any negative publicity about us, our industry peers or the industries in which we operate, our business, financial condition, cash flows and results of operations may be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brand and reputation as a global, multi-asset investment platform are key assets and a competitive advantage. Maintaining, protecting and enhancing our brand depends largely on the success of our marketing and public relations efforts, our ability to provide consistent, high-quality and secure products, services, features and support, and our ability to successfully secure, maintain and defend our rights to use the “eToro” mark and other trademarks important to our brand. We believe that the importance of our brand will increase as competition further intensifies in our industry. Our brand and reputation could be harmed if we fail to achieve these objectives or if there is negative publicity regarding our public image, or the image of our industry peers or the industries in which we operate.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Damage to our brand and reputation could also be caused by:</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or regulatory actions or investigations into, our platform or our business, including litigation or regulatory actions that result in changes to, or prohibit us from offering, certain features, products or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privacy or data security breaches, or other security incidents, payment disruptions or other incidents;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and/or perceived reliability of our platform;</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illegal, negligent, reckless, fraudulent or otherwise inappropriate behavior by our management team, other employees or contractors, our users or third-party service providers or partners as well as complaints or negative publicity about such individuals or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imposition of temporary trading restrictions or any outright failure to meet our deposit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to comply with legal, tax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perceived or actual weakness in our financial strength or liquidity;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perceived or actual weakness in our anti-financial crime (including anti-fraud, anti-bribery and corruption, AML, counter-terrorism financing (CTF)) and anti-proliferation financing (APF) policies, procedures or systems and controls or those by our third-party service providers or partners, or any failure by our management team, other employees, contractors or users to comply with these anti-financial crime controls;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policies, features, products or services or changes to our existing policies, features, products, or services that users or others perceive as overly restrictive, inappropriate, unclear or not clearly articulated;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operate our business in a way that is consistent with our values and 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unsatisfactory user support experiences;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responses by users or regulators to our business model, to particular features, products or services or to our activities in certain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handle users’ cash or assets, specifically with respect to “hot” and “cold” storage of cryptoassets;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relating to our business, competitors or the industry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adapt to new or changing user preferences;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 with respect to our competitors, to the extent the resulting negative perception affects the public’s perception of us or our industry as a whole.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damage to our reputation or brand could diminish confidence in, and the use of, our products and services, which could have an adverse effect on our business, financial condition, cash flows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whereby defaults by a financial counterparty or our users, or insolvency proceedings, can have an adverse effect on our business, financial condition, cash flows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offering leveraged trading products, we accept the risk that user credit losses can arise as a cost of our business model in the event that a user’s total funds deposited with us, typically the “margin” and usually expressed as a percentage of the notional value of each trade, are insufficient to cover any trading losses incurred by such user. As the counterparty to these leveraged trades, we remain financially liable for a user’s obligations if such user defaults or the margin is otherwise insufficient to cover the user’s losses. Accordingly our leveraged trading operations require a significant commitment of capital and although we have the ability to alter our margin requirements and seek to hedge our exposure in such leveraged trades, this may not completely eliminate the risk that our access to liquidity becomes limited or market conditions, including currency price volatility and liquidity constraints, change faster than our ability to modify our margin requirements or increase our hedge positions, which could result in a significant impact on our cash position, especially during periods of market downturn that could significantly increase the amount of each user’s losses in excess of the margin deposited with us.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hold significant deposits of our own funds and our users’ funds, and assets such as cryptoassets and securities, with third-party banks and other financial institutions, including liquidity and payment providers. We are therefore subject to risk of default by financial institutions that hold our funds and our users’ funds and assets. In the event of the insolvency of one of these financial institutions, we might not be able to fully recover the assets we have deposited since, in certain cases, we will be among the institution’s unsecured creditors. If we lost access to these funds, our business could be materially adversely affected.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in previous extreme market events, banks and other large financial institutions have become insolvent. As a result of rules recently adopted by U.S. and foreign regulators restricting or staying the exercise of rights, including termination rights, in certain financial contracts (including over the counter derivatives) with certain of our liquidity counterparties that have been designated as global systemically important banking organizations, we may be restricted in our ability to terminate such contracts following the occurrence of certain insolvency-related default events with respect to such counterparties. Some of the contracts with those liquidity providers have been modified in accordance with these new regulations as requested by impacted counterparties either through bilateral negotiation or adherence to certain “Resolution Stay Protocols” developed by the International Swaps and Derivatives Association. The occurrence of such an event could limit or prohibit our right to receive amounts owed to us under the agreements with those liquidity providers or endanger our ability to retrieve our margin or to provide leveraged trading services, in whole or in part, to our users.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users are located in diverse markets around the world, our business is vulnerable to local market conditions around the world and geopolitical developments, such as trade wars, legislative change and foreign exchange limitations.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associated with doing business internationally and may be harmed by global events beyond our control, including changes in business, economic, or political conditions and overall slowdowns in securities trading, which could impact users’ use of our platform and materially impact our business, financial condition, cash flows and results of operations. As of December 31, 2025, we had approximately 3.81 million Funded Accounts across our global footprint of 77 countries, which subjects us to multiple risks, including:</w:t>
      </w:r>
    </w:p>
    <w:p>
      <w:pPr>
        <w:spacing w:after="0" w:line="180"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 including tariffs, trade protection measures, import-export restrictions, trade embargoes and sanctions and other trade barriers;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economic and 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or interpretations of laws and regulations, including user protection, data protection, privacy, financial services, tax, cryptoasset regulation, sanctions and export controls, anti-bribery and corruption, AML, CTF, APF and other laws or policies;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including the impact of natural disasters, public health issues, pandemics, acts of war, nationalism and terrorism, international crises, social unrest or human rights issues;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or total expropriation of international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and protection of intellectual property and contract rights differing between jurisdictions.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operate on a global scale, we are subject to complex laws, rules and regulations in the various jurisdictions in which we are regulated or serve users. Although we have implemented policies and procedures designed to promote compliance with these laws, violations can nevertheless occur, which could result in fines, customer redress, criminal actions or sanctions against us, prohibitions or limitations on the conduct of our business and could ultimately damage our reputation. See “—</w:t>
      </w:r>
      <w:r>
        <w:rPr>
          <w:rFonts w:ascii="Times New Roman" w:cs="Times New Roman" w:eastAsia="Times New Roman" w:hAnsi="Times New Roman"/>
          <w:sz w:val="18"/>
          <w:szCs w:val="18"/>
          <w:i w:val="1"/>
          <w:iCs w:val="1"/>
          <w:color w:val="auto"/>
        </w:rPr>
        <w:t>We operate, offer and market services in markets where the applicability of the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can be unclear or open to interpretation in respect of certain of our products and services and where the regulatory parameters and enforcement approaches may change over time.</w:t>
      </w:r>
      <w:r>
        <w:rPr>
          <w:rFonts w:ascii="Times New Roman" w:cs="Times New Roman" w:eastAsia="Times New Roman" w:hAnsi="Times New Roman"/>
          <w:sz w:val="18"/>
          <w:szCs w:val="18"/>
          <w:color w:val="auto"/>
        </w:rPr>
        <w:t>” In addition, we may in the future undertake projects and make investments in countries in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little or no previous investment or operating experience. We may not be able to fully or accurately assess the risks of operating and investing in such countries or may be unfamiliar with the laws and regulations in such countries governing our investments and operations. Demand also could differ materially from our expectations as a result of local economic and political conditions or currency fluctuations. As a result, we may be unable to effectively implement our strategy in new jurisdictions, which could adversely negatively impact our business, financial condition, cash flows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we are exposed to foreign exchange risk arising from fluctuations in exchange rates. Our international operations employ varying currencies, including the New Israeli Shekel (“NIS”), U.S. dollar, British pound, Euro and Australian dollar, which subject us to foreign currency exchange risk. We also have foreign currency exchange risk on some of our costs and our assets and liabilities denominated in currencies other than our functional currency. For example, a significant portion of our revenues is denominated in U.S. dollars, while a significant part of our operating expenses, including salaries and other operational costs, are incurred in NIS. We selectively hedge certain non-U.S. dollar exposures; however, suitable hedging arrangements may not always be commercially available, and our hedging activities may not adequately mitigate exchange rate impacts. Hedging instruments may also introduce additional risks if we are unable to structure effective hedges or accurately forecast the underlying exposures, particularly during periods of heightened macroeconomic volatility.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satisfy regulatory capital requirements and provide liquidity and support business growth and objectives, and this capital might not be available to us on reasonable terms, if at all.</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require high levels of working capital in order for us to meet regulatory capital and liquidity requirements, operate our business at our desired capacity, pursue growth opportunities and properly manage our risks, including risks related to our capital and margin requirements for our liquidity providers, banking service providers and payment services providers. Our regulators have stringent rules with respect to the maintenance of specific levels of net capital, and certain regulators set requirements on an asset-specific level. For example, the European Securities and Markets Authority (“ESMA”) has specific requirements for companies offering contracts for difference and under the Markets in Crypto-Assets Regulation (“MiCA”), which became fully applicable in December 2024 and harmonized EU capital requirements for Crypto-Asset Service Providers (“CASPs”). Failure to satisfy regulatory capital requirements could result in the immediate suspension of our activities, regulatory prohibitions against certain business practices, increased regulatory inquiries and reporting requirements, increased costs, fines and penalties or other sanctions, including suspension or expulsion by the various regulatory bodies whose rules we are subject to. Future regulatory changes may also create additional burdens by imposing greater or different minimum capital requirements or otherwise impair our ability to satisfy the capital maintenance requirements. Additionally, there is currently limited guidance on whether or how these capital rules may apply to cryptoassets, and our regulatory capital requirements could significantly increase in the future depending on whether and to what extent the SEC, the Financial Industry Regulatory Authority Inc. (“FINRA”), the Commodity Futures Trading Commission (“CFTC”) determine that such rules apply to cryptoassets or adopt specific capital requirements with respect to cryptoassets. See “—</w:t>
      </w:r>
      <w:r>
        <w:rPr>
          <w:rFonts w:ascii="Times New Roman" w:cs="Times New Roman" w:eastAsia="Times New Roman" w:hAnsi="Times New Roman"/>
          <w:sz w:val="18"/>
          <w:szCs w:val="18"/>
          <w:i w:val="1"/>
          <w:iCs w:val="1"/>
          <w:color w:val="auto"/>
        </w:rPr>
        <w:t>We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capital and liquidity requirements which may affect our ability to distribute profits and/or restrict expansion, which may further affect our ability to conduct our business and may reduce profitability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our operations continue to expand, we may have difficulty maintaining sufficient working capital to sustain our growth and meet applicable regulatory capital and liquidity requirements and any reduction in our liquidity position could reduce our users’ confidence in us, which could result in the withdrawal of their assets and loss of users. To meet these capital demands, we may decide to engage in equity, equity-linked, or debt financings or enter into additional credit facilities for other reasons, and it is possible that we will not be able to secure any such additional financing or refinancing on favorable terms, in a timely manner, or at all. If we issue equity or convertible debt securities, our shareholders could suffer significant dilution, and the new shares could have rights, preferences and privileges superior to those of our current shareholders. Any debt financing could involve restrictive covenants relating to our capital-raising activities and other financial and operational matters, which might make it more difficult for us to obtain additional capital and to pursue future business opportunities. Furthermore, access to capital determines our creditworthiness, which if perceived negatively in the market could materially impair our ability to provide clearing services and attract users, which could materially and adversely affect our business, financial condition, cash flows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investments, acquisitions, partnerships or joint ventures that we make or enter into could require significant management attention, disrupting our business and harming our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products, or technologies that we believe could complement or expand our platform, enhance our technical capabilities, or otherwise offer growth opportunities. The pursuit of potential acquisitions or investments may divert the attention of management and cause us to incur various expenses in identifying, investigating and pursuing suitable acquisitions, whether or not such acquisitions are completed. In addition, we have limited experience in acquiring other large businesses. We may not successfully identify desirable acquisition targets, or if we acquire additional businesses, we may not be able to integrate them effectively or obtain the expected benefits of the acquisition on a timely basis or at all. Since our prior acquisitions have primarily focused on smaller companies, our ability to acquire and integrate a larger company is untested. Acquisitions could also result in dilutive issuances of equity securities or the incurrence of debt, as well as unfavorable accounting treatment and exposure to claims and disputes by third parties, including intellectual property claims, indemnification claims, regulatory claims and earn-out obligations, which may not currently exist and cannot be accurately predicted. We may also not generate sufficient financial returns to offset the costs and expenses related to any acquisitions. In addition, if an acquired business fails to meet our expectations, our business, financial condition, cash flows and results of operations may suffer. Further, regulators may scrutinize our proposed business combinations and acquisitions given the regulatory landscape in which we operate, and regulatory approvals may be required for the completion of certain business combinations or acquisitions. We may be unable to pursue the opportunities which would be beneficial to our business, which would be harmful to our business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credit agreements could restrict our operations, and failure to comply could adversely affect our financial condition.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existing revolving credit facility agreement contains, and other borrowing arrangements may contain, restrictive covenants that, among other things, impose minimum liquidity and tangible net worth requirements and limit our ability to dispose of assets, make acquisitions or investments, incur additional indebtedness or liens, pay distributions to shareholders, or enter into certain related-party transactions. These agreements also require us to maintain specified capitalization levels and financial ratios. Such restrictions may limit our operational and financial flexibility, including our ability to raise additional debt to support our liquidity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breach of these covenants, including as a result of events beyond our control, could constitute an event of default, permitting our lenders to accelerate all outstanding obligations and, where applicable, proceed against pledged collateral. If our indebtedness were accelerated and we lacked sufficient liquidity to satisfy our obligations, our business, financial condition, and results of operations would be materially adversely affected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description of the revolving credit facility from June, 2025, see “Item 5.B. Liquidity and Capital Resources—Debt.”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adequate insurance to cover all known risks and our insurance policies may not be sufficient to cover all claims.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carry insurance in connection with our business, including directors’ and officers’ liability insurance, cyber liability insurance, comprehensive crime insurance and professional liability insurance. We have limited business interruption insurance to compensate for losses that could occur. We do not maintain cryptoasset crime insurance, general product liability insurance or key-person insurance. Our insurance coverage for certain cyber incidents (including those compromising cryptoassets) is limited and does not cover the extent of loss nor the nature of such loss, in which case we may be liable for the full amount of losses suffered, which could be greater than all of its assets.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growing rapidly and our insurance coverage may not be sufficient to protect us from any loss now or in the future and we may not be able to successfully claim our losses under our current insurance policies on a timely basis, or at all. In addition, as a public company, we will be required to increase our directors’ and officers’ liability insurance, which may be costly. Further, because of the nature of our business, insurers may be reluctant to insure our business, which would require us to bear all losses with respect to claims we receive. Our inability to obtain and maintain appropriate insurance coverage, could cause a substantial business disruption, adverse reputational impact and regulatory scrutiny. If we incur any loss that is not covered by our insurance policies, or the compensated amount is significantly less than our actual loss, our business, financial condition, cash flows and results of operations could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assumptions and/or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IFRS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fair value of share-based payment transactions, income taxes and accounting for cryptoassets, including, without limitation, the treatment of cryptoassets held in custody on behalf of our users and accounted for as off-balance sheet for the purpose of our consolidated financial statements.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inaccurate, and even if the markets in which we compete achieve the forecasted growth, our business could fail to grow at similar rates, or at all.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annual report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variables that go into the calculation of our market opportunity are subject to change over time, and there is no guarantee that any particular number or percentage of addressable users covered by our market opportunity estimates will become a user or generate any particular level of revenues for us. In addition, our ability to expand in any of our target markets depends on a number of factors, including the cost, performance and perceived value associated with our products and services. Even if the markets in which we compete meet the size estimates and growth forecasted in this annual report, our business could fail to grow at similar rates,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Key business metrics and other estimates are subject to inherent challenges in measurement, and our business, financial condition, cash flows and results of operations could be adversely affected by real or perceived inaccuracies in those metrics.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review key business metrics, including Funded Accounts and other measures to evaluate growth trends, measure our performance and make strategic decisions. These key metrics are calculated using internal company data and have not been validated by an independent third party. Additionally, we may calculate and publish certain key business metrics using third-party data. While we believe the third-party data we have used or may use in the future is reliable, we have not independently verified and may not in the future independently verify the accuracy or completeness of the data contained in such sources and there can be no assurance that such data is free of error. While these numbers are based on what we currently believe to be reasonable estimates for the applicable period of measurement, there are inherent challenges in such measurements. If we fail to maintain an effective analytics platform, our key metrics calculations may be inaccurate, and we may not be able to identify those inaccuracies.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key business metrics may also be impacted by compliance or fraud-related bans, technical incidents, or false or spam accounts in existence on our platform. We regularly deactivate fraudulent and spam accounts that violate our terms of service and exclude these users from the calculation of our key business metrics; however, we may not succeed in identifying and removing all such accounts from our platform. Additionally, users are not prohibited from having more than one account and our Funded Accounts metric may overstate the number of unique users who have registered an account on our platform as one user may register for, and use, multiple accounts with different email addresses, phone numbers, or usernames. 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shares could decline and we might be subject to shareholder litigation, which could be costly.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change our key business metrics from time to time, which may be perceived negatively by investors or analysts. Given the rapid evolution of the markets in which we operate and our revenue sources, we regularly evaluate whether our key business metrics remain meaningful indicators of the performance of our business. In the future, we may make additional changes to our key business metrics, including eliminating or replacing existing metrics. Further, if investors or the media perceive any changes to our key business metrics disclosures negatively, our business, operating results, and financial condition could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regulatory landscape in the jurisdictions in which we are regulated or serve users, such as the European Economic Area (the “EEA”), the U.K., Asia, Australia, Seychelles, the United Arab Emirates (the “UAE”), the United States, Singapore and in additional jurisdictions in which we are currently seeking to become licensed or in which we otherwise have users, includes extensive laws, rules and regulations with which we are required to comply, along with supervision and enforcement by various governmental, regulatory, and enforcement bodies and self-regulatory organizations (“SROs”), each of which could restrict our business practices. These laws, rules and regulations govern all aspects of our business and include, or might in the future include, those relating to all aspects of the securities industry, financial services, money transmission, the source of funds/assets, marketing (including social features), servicing, foreign exchange, payments services (such as payment processing and settlement services), cryptoassets, trading in shares and fractional shares, fraud detection, consumer protection, AML, CTF, APF, Travel Rule, dormant accounts, sanctions regimes and export controls, data privacy, data protection, data security and resilience, digital services provision, as well as climate risk and environmental impact (including applicable disclosure requirements). See “Item 4.B. Business Overview—State of Regulation” for specific legislative and regulatory schemes we are subject to. Many of these legal and regulatory regimes were adopted prior to the advent of the internet, mobile technologies, cryptoassets and related technologies. Consequently, they may not contemplate or address unique issues associated with our business, are subject to significant uncertainty and vary widely across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certain areas of our business requires us to exercise our judgment as to whether certain laws, rules and regulations apply to us, and it is possible that governmental bodies and regulators may disagree with our conclusions. To the extent government bodies and/or regulators are of the view or conclude that we have not complied with such laws, rules and regulations, we may be subject to significant fines, revocation of licenses, limitations on our products and services, reputational harm, customer redress and other regulatory consequences. In addition, regulators have imposed restrictions and conditions on the licenses held by us, and may in the future, impose further restrictions or conditions, limiting the extent and type of business which certain of our subsidiaries may conduct. Any imposition of additional requirements by regulators could materially negatively impact our business operations or our prospects for business expansion. We have devoted, and will continue to devote, substantial costs and resources to meeting our heterogenous and dynamic regulatory obligations, including procuring automated solutions, enhancing our systems, procedures and controls, hiring knowledgeable employees, engaging with external legal counsel and providing them with adequate resources to respond to heterogenous and possibly conflicting regulatory requirements, in order to maintain our compliance obligations.</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existing laws and regulations, various governmental and regulatory bodies, including legislative, executive, and judicial bodies in the markets in which we operate, or markets which we may enter into in the future, may, and some are expected to, change existing laws and regulations, adopt new laws and regulations, and/or issue new interpretations of existing laws and regulations may be issued by such bodies or the judiciary. Such developments may adversely impact the development or provision of financial products or services, including by negatively impacting securities and cryptoassets markets as a whole and by impacting our legal and regulatory status in particular by changing how we operate our business, how our products and services are regulated, and what products or services we and our competitors can offer and how we market them, requiring changes to our compliance and risk mitigation measures, exposing us to heightened scrutiny and increasing penalties for violations, imposing new licensing requirements, or imposing a total ban on certain activities, including, but not limited to, a ban on cryptoasset transactions, or contracts for difference, as has occurred in certain jurisdictions in the past.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For example, in the EEA, MiCA, which establishes a comprehensive European regulatory framework for cryptoassets, came into full effect on December 30, 2024. See “Item 4.B. Business Overview—State of Regulation.” We expect to continue to incur significant costs in connection with ongoing MiCA compliance. Similarly, the United Kingdom is implementing a comprehensive regulatory regime for cryptoassets, and the Australian Securities and Investments Commission (“ASIC”) has proposed a new licensing framework for cryptoasset service providers under the Corporations Act. In addition, pursuant to recommendations from FinCEN and the Financial Action Task Force, the United States and several international jurisdictions in which our subsidiaries operate have imposed the Funds Travel Rule and the Funds Transfer Rule (collectively, the “Travel Rule”) on financial service providers in the cryptoeconomy. We may incur significant costs to implement and comply with the Travel Rule and could face penalties for non-compliance or lose customers if compliance measures negatively affect their experience. In the United States, various states have recently proposed or are implementing additional licensing and regulatory requirements for entities that engage in cryptoasset-related business activities or offer cryptoasset trading to retail investors. Such requirements may strain our resources, make it difficult to operate in certain jurisdictions, and could force us to limit or cease operations where the regulatory environment precludes us from competing effectively. At the federal level in the U.S., the GENIUS Act, signed into law on July 18, 2025, establishes federal oversight of payment stablecoins and their issuers and may impose obligations on intermediaries that offer, distribute, or custody payment stablecoins, which could increase our compliance costs or require changes to the stablecoin-related services we provide. While we are not a payment stablecoin issuer, we facilitate the trading, holding, and transfer of payment stablecoins, including stablecoins that may be subject to regulation under the GENIUS Act, on our platform. Compliance with the Genius Act by the relevant issuers could affect the availability, functionality, or terms on which such stablecoins are offered on our platform. The CLARITY Act would allocate regulatory authority over cryptoassets between the SEC and CFTC and create a provisional registration regime, passed the U.S. House of Representatives on July 17, 2025 and is under consideration by the U.S. Senate. We anticipate that, if adopted, the CLARITY Act could require us to become separately regulated by the CFTC. More generally, the enactment or implementation of these or similar measures could require us to register under new regulatory regimes, restructure or discontinue certain product offerings, and incur materially increased compliance costs. We may also be adversely affected by evolving regulatory standards relating to suitability, fiduciary and best interest obligations, supervision, sales practices, and best execution as applied to our business. As we continue to grow rapidly and add additional services and asset classes to our platform, as well as expand our operations to additional countries and jurisdictions, we will face increasing regulatory demands, and we may have difficulty complying with our current or future regulatory obligations. Any changes to such regulations, implementation of new regulations or enforcement of regulations which we are subject to may require expenditure of significant time and resources on a one-off and ongoing basis, and could have a material adverse impact on our business, financial condition, cash flows and results of operations. Failure to comply with any regulations may result in fines, negative publicity and reputational harm and restrictions on our activities, among other sanctions, which would materially impact our business, including financially and/or reputationally.</w:t>
      </w:r>
    </w:p>
    <w:p>
      <w:pPr>
        <w:spacing w:after="0" w:line="20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Moreover, certain of the products and services offered by us or which we intend to offer are or may be considered complex with respect to their provision to retail users and additional compliance obligations apply to such products. For example, in the U.K. and the EEA and Australia, we are obligated to assess the “target market” for, and “appropriateness” of, complex products (for instance contracts for difference and other leveraged/margin based financial products) for our users, even where they are sold on an “execution-only basis.” We are also obligated to perform a “suitability” assessment for our CopyTrading and Smart Portfolio services. Any potential changes to existing requirements concerning appropriateness or suitability may require enhancements to our existing systems and processes, which may lead to increased compliance costs or negatively impact the proportion of addressable users. Further, regulators in the EEA, the U.K., Australia and in some other jurisdictions in which we are regulated or serve users have imposed prohibitions or restrictions on, or applied greater scrutiny to, the marketing, distribution and sale of complex products, such as margin and leveraged products, derivatives and contracts for difference and services to retail users given the inherent risks for users due to the sophisticated nature and volatility of these products which will have a significant impact on our business. For example, ASIC commenced civil proceedings against our Australian subsidiary, eToro AUS Capital Ltd., alleging that it contravened Australia’s law requiring financial institutions to adopt, implement and monitor a target market determination for complex products (specifically, contracts for difference). ASIC is seeking, among other forms of relief, pecuniary penalties as the court determines to be appropriate. The proceedings are ongoing and the outcome could have adverse impacts on our financial position and reputation in Australia, create the potential for a class action lawsuit and for regulators in other jurisdictions to rely on the outcome of this proceeding to support their own actions against us. In addition, the Cyprus Securities and Exchange Commission (“CySEC”) has also made inquiries in connection with potential breaches of eToro (Europe) Ltd.’s product governance (including “target market” determinations), appropriateness and suitability obligations in respect of our contracts for difference offering to retail users. We have also restricted the offering of contracts for difference in certain jurisdictions, including for example in Spain and Belgium, in light of the positions taken by local regulators. Additionally, under MiCA in the EEA, we are subject to enhanced conduct of business rules for cryptoasset services. These include mandatory suitability assessments for portfolio management services with respect to cryptoassets. Regulators have and may continue to take views on the regulatory treatment of certain of our products and services which may not align with how we have interpreted the relevant regulatory requirements. In each case, any such measures could expose us to regulatory action, including fines, license revocation, or reputational harm and may have a material adverse effect on our business, financial condition, cash flows and results of operations. Any future regulations may affect the availability of our products and materially and adversely affect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implement and maintain policies, procedures and controls intended to promote compliance with AML, CTF and APF (including KYC), Travel Rule, anti-bribery and corruption and sanctions laws. However, these laws may change in the jurisdictions in which we are regulated or serve users, which could lead to new regulatory or legal requirements. We regularly review, assess and, where required, enhance policies, procedures and controls, including in response to changes in such laws. KYC checks are reliant on users providing true and accurate information and whilst we have policies, procedures and systems and controls in place to verify the identity of our users and check the veracity of KYC information (including periodically refreshing KYC as well as users being subject to ongoing monitoring, using a risk based approach), our ability to meet our AML, CTF and APF obligations may be adversely affected by bad actors seeking to purposefully provide false information, thereby increasing our potential exposure to money laundering, terrorist financing and/or proliferation financing risk, which could lead to sanctions, cease and desist orders or other civil or criminal penalties and censures which could significantly and adversely affect our continued operations and financial condition. See “—</w:t>
      </w:r>
      <w:r>
        <w:rPr>
          <w:rFonts w:ascii="Times New Roman" w:cs="Times New Roman" w:eastAsia="Times New Roman" w:hAnsi="Times New Roman"/>
          <w:sz w:val="18"/>
          <w:szCs w:val="18"/>
          <w:i w:val="1"/>
          <w:iCs w:val="1"/>
          <w:color w:val="auto"/>
        </w:rPr>
        <w:t>We are required to comply with certain laws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sanctions, fraud, AML, CTF, APF and anti-bribery and corruption.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Regulatory challenges may arise as a result of geopolitical changes or from changes to laws and regulations, including with respect to cryptoassets. Many of the regulations we are governed by are intended to protect the public, our users and the integrity of the markets and not necessarily our shareholders.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our subsidiaries engage in cross-selling to our users of certain products and services offered by other of our subsidiaries. Any changes in laws, regulations, regulatory interpretations or approaches which preclude, restrict or require any changes to such intra-group cross-selling arrangements could have a material adverse effect on our business, financial conditions, cash flow and results of operations. In addition, we rely on certain of our subsidiaries to provide services to users on a cross-border basis in jurisdictions where we do not have a local presence. Regulators may object to these arrangements. This could limit our ability to grow or continue to operate our business in certain jurisdictions, reduce revenues in a particular jurisdiction, negatively impact our relationships with regulators, expose us to the risk of regulatory fines, penalties and sanctions, or render our contracts with our users unenforceable.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 the process of obtaining and/or activating licenses and registrations, including with respect to cryptoassets, in certain jurisdictions, as well as opening representative offices in a number of localities in which we currently operate on a cross-border basis. While eToro entities already hold certain licenses in a number of jurisdictions globally, eToro entities may, however, be required to temporarily or permanently cease or reorganize their offerings in certain jurisdictions, including the E.U., in which we currently operate on a cross-border basis under passporting arrangements rather than through locally established and licensed entities. Such additional licenses, reorganizations, temporary or permanent cessation of our offerings could have a material adverse effect on our business, financial condition, cash flows and results of operations and reputation. In addition, there is no guarantee that the relevant eToro entities will be granted licenses, registrations or variations to existing licenses in respect of the applications it has filed or otherwise intends to or is in the process of obtaining, or that such licenses, registrations or variations will be granted without conditions or other restrictions.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certain services such as our staking programs, are available on our platform and wallets, but are currently unavailable to users in certain jurisdictions/states on the basis of regulatory restrictions. In order to ensure users in such jurisdictions cannot access such assets and staking programs, we have systems in place to identify the geographical location of each user’s IP address at the user registration stage. However, there is no guarantee that such systems and controls will be entirely effective. In the event such systems and controls are inadequate, or deemed by a regulator to be inadequate, and we are directed to restrict the access of users to products that are permitted in their jurisdiction, we could be exposed to regulatory action, which may result in fines, negative publicity and reputational harm and restrictions on our activities, among other sanctions, which would materially impact our business, including financially and/or reputationally.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Finally, certain regulatory authorities limit the ability of third parties to acquire more than 9.99% of our issued share capital or voting power unless the acquiring shareholder has been granted a license by such regulatory authorities or such ownership is otherwise approved. Our Amended and Restated Memorandum and Articles of Association (the “A&amp;R memorandum and articles”) include various provisions designed to help implement these restrictions, which may impact our ability to access the equity capital markets in the future and impact the ability of our shareholders to sell large portions of their common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Regulators worldwide frequently study each other’s approaches to the regulation of complex investment products and cryptoassets.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elsewhere,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 In addition, although we have policies and procedures in place for determining the characterization of cryptoassets and the offering of complex investment products and cryptoassets to retail investors, such policies and procedures may not be fully effective in mitigating our risk exposure.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complexity of the international and U.S. federal and state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comply with certain laws related to sanctions, fraud, AML, CTF, APF and anti-bribery and corruption.</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are required to comply with aspects of laws and regulations imposed, administered and enforced by regulatory authorities around the world related to sanctions, fraud, AML, CTF, APF and anti-bribery and corruption requirements (for example, the U.S. Foreign Corrupt Practices Act 1977 and the U.K. Bribery Act 2010). The geographic span of our operations and user base increase the risk that our activities may be found to be non-compliant with these requirements. Because of our large user base, the diverse suite of our services and products and because the AML, CTF, APF, Travel Rule and sanctions laws are complex and constantly changing, monitoring compliance requires significant resources and technical capabilities. Furthermore, the increasing sophistication of financial crimes could limit our ability to detect unlawful transactions. If we were to be found to have violated sanctions, fraud, AML, CTF, APF laws, Travel Rule, or anti-bribery and corruption laws, directly or indirectly or even inadvertently, this could have substantial negative consequences for our business. This could include, for example, us becoming subject to government investigations (and incurring costs in relation to such proceedings), substantial criminal and civil penalties, revocation, suspension, restriction or variation of conditions of our operating licenses, litigation, loss of commercial and banking relationships and harm to our business and reputation. Our ability to comply with the AML, CTF, APF, Travel Rule and sanctions laws is predominantly dependent on our user identification, KYC, transaction monitoring and screening and reporting capabilities. Although we have implemented policies, procedures and controls to promote compliance with sanctions, fraud, AML, CTF and APF laws and anti-bribery and corruption laws and are in the process of implementing the Travel Rule, we have in the past dealt with sanctioned persons (and there is a risk we may still be doing so and will continue to do so in the future) and there is no guarantee that our controls will ensure compliance at all times and in all cases. There also can be no assurance that our employees or agents will not violate such laws and regulations and a failure by us or our employees or agents to comply with such laws and regulations and subsequent judgment or settlement against us under these laws could subject us to monetary penalties, damages and/or have a significant financial and reputational impact. Moreover, as a result of the Russian invasion of Ukraine, the E.U., the U.K., the United States and other jurisdictions have imposed wide-ranging sanctions on Russia and Belarus and persons associated with Russia and Belarus. There can be no certainty regarding whether such governments or additional governments will impose further sanctions, or other economic or military measures against Russia or Belarus (or other jurisdictions). Our risk-based sanctions and AML, CTF and APF compliance programs include monitoring of IP addresses to identify prohibited jurisdictions, as well as the monitoring of blockchain addresses that are prohibited or that otherwise are believed by us to be associated with prohibited persons or jurisdictions. Nonetheless, there can be no guarantee that these measures will prevent all breaches of AML, CTF, APF and sanctions requirements. In particular, the nature of the blockchain and of our services makes it more difficult in all circumstances to prevent transactions with particular persons or addresses, and we may be inadvertently and without knowledge directly or indirectly engaging in transactions with, or for the benefit of, sanctioned persons. Sanctions, including sanctions administered by the U.S. Department of Treasury’s Office of Foreign Assets Control (“OFAC”) and the U.K. can often be enforced on a “strict liability” basis, meaning we may be held responsible for transactions with sanctioned persons even if we have no knowledge that a particular counterparty is sanctioned. If it is determined that we have transacted with sanctioned persons, even inadvertently, we may suffer reputational harm, be forced to pay fines or penalties and have increased costs associated with governmental inquiries and investigations, any one of which could adversely affect our business, financial condition, cash flows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offer and intend to continue developing innovative products and services, including our non-custodial wallet, tokenized asset offerings, perpetual futures contracts, that rely on blockchain protocols, smart contracts, and related technologies. The legal and regulatory framework governing these products and services - including the rights and obligations arising from smart contract interactions and the extent to which such activities constitute regulated activity and the classification of such activities, is uncertain and rapidly evolving and may vary from one jurisdiction to another. Depending on their classification, these products may be subject to licensing requirements, product intervention measures, or outright prohibitions that vary by jurisdiction. Failure to correctly classify such instruments or to comply with applicable regulatory requirements could expose us to enforcement actions, fines, civil liability to investors, and reputational harm.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our interaction with blockchain-based applications, and the interaction of other network participants with smart contracts or assets could expose us to legal, reputational, operational, and regulatory risks. Although we do not operate or control these third-party protocols, our role in facilitating user access to them may create an expectation by users, regulators, or courts that we bear some degree of responsibility for the security, suitability, or performance of the protocols accessible through our interface. Regulators in multiple jurisdictions are actively developing frameworks to address the liability of intermediaries that provide access to decentralized finance services, and we may become subject to obligations regarding due diligence, disclosure, suitability assessment, or product governance in connection with DeFi protocols accessible through our non-custodial wallet. While we have implemented compliance policies and procedures, including geofencing, designed to monitor and ensure compliance with applicable laws and regulations, there can be no assurance that such measures will be sufficient to prevent violations or non-compliance.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operating non-custodial wallets, digital payments, e-money and trading services brings the risk of criminals abusing our products and services. For example, there have in the past been instances of criminal organizations opening fraudulent eToro Money accounts which enabled the laundering of illicit funds and instances of eToro users misusing the Pro Investor program by fraudulently copying each other’s positions to increase the fees they might receive. To date these instances have occurred infrequently. There can be no assurance that our systems will be able to detect or prevent all illicit activities in the future, and failure to prevent such activities could result in significant financial losses, fines, damages, consumer redress exercises, litigation, legal and regulatory sanctions and damage to our reputation, which in turn could have a material adverse effect on our business, financial condition, cash flows and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See “Item 4.B. Business Overview—State of Regulation” for further detail on the relevant AML, CTF, Travel Rule and APF regulations we are subject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regulatory inquiries, audits, examinations, investigations, actions and settlements and we expect to continue to be subject to such proceedings in the future, which could cause us to incur substantial costs, require us to change our business practices in a materially adverse manner and may be damaging to our reputation.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From time to time, we have been and currently are subject to regulatory inquiries, audits, examinations, investigations, actions and settlements, and, given the highly regulated nature of the sectors in which we operate and the novelty of the cryptoasset industry, we expect that we will be subject in the future to further legal and regulatory examinations and investigations and enforcement actions arising out of our business practices and operations, conducted by regulatory or other governmental bodies including, by way of example, CySEC, the U.K. Financial Conduct Authority (the “FCA”), ASIC and the SEC, among other authorities. These regulatory inquiries, audits, examinations and investigations have in some instances in the past and might in the future lead to lawsuits, arbitration claims, enforcement proceedings and class actions, as well as other actions and claims, that result in injunctions, fines, penalties and monetary settlements. For example, in September 2024, eToro USA LLC entered into a settlement agreement with the SEC resulting in a civil penalty and changes to our U.S. cryptoasset offering (see “—If we fail to comply with applicable laws, rules and regulations” for further detail). See “—</w:t>
      </w:r>
      <w:r>
        <w:rPr>
          <w:rFonts w:ascii="Times New Roman" w:cs="Times New Roman" w:eastAsia="Times New Roman" w:hAnsi="Times New Roman"/>
          <w:sz w:val="18"/>
          <w:szCs w:val="18"/>
          <w:i w:val="1"/>
          <w:iCs w:val="1"/>
          <w:color w:val="auto"/>
        </w:rPr>
        <w:t>If we fail to comply with applicable laws, rules and regulations, including if we fail to adapt our business to new laws and regulations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promulgated from time to time, there is a high degree of risk that we would be subject to disciplinary actions, customer redress, fines and loss of licenses to provide our services, which may prevent us from serving users in certain jurisdictions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are subject to risks relating to litigation (including class actions), claims and potential liabilities under laws and regulations applicable to financial services, including enforcement actions, investigations and examinations of regulatory authorities in jurisdictions in which we are regulated or serve users or have users</w:t>
      </w:r>
      <w:r>
        <w:rPr>
          <w:rFonts w:ascii="Times New Roman" w:cs="Times New Roman" w:eastAsia="Times New Roman" w:hAnsi="Times New Roman"/>
          <w:sz w:val="18"/>
          <w:szCs w:val="18"/>
          <w:color w:val="auto"/>
        </w:rPr>
        <w:t>.” Moreover, in October 2018, after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correspondence with the Ontario Securities Commission (the “OSC”), the OSC issued a notice of hearing for our subsidiary, eToro (Europe) Ltd.’s, trading in securities without complying with Ontario’s securities law related to licensing. As a result, we paid an administrative penalty and ceased providing services in Canada without prejudice to our right to resume services in Canada subject to obtaining appropriate licenses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and other proceedings inquiries, audits, examinations, investigations and other regulatory matters, might subject us to fines, penalties and monetary settlements, customer redress exercises, harm our reputation and brand, require substantial management attention, result in additional compliance requirements, result in certain of our subsidiaries losing their regulatory licenses or ability to conduct or offer certain services or business in some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Failure to obtain, qualify for, maintain or comply with the authorizations, approvals, licenses, permits or the regulatory frameworks established in each of the jurisdictions in which we and our subsidiaries are regulated, serve users or market our products and services gives rise to a number of significant risks, including, but not limited to, the removal of permissions to operate, fines, customer redress and public censures. Given the increased regulatory attention on retail brokers, and in particular those offering cryptoassets and other complex products (including contracts for difference) for retail users, the risks of any of the foregoing occurring are high and would materially and adversely affect our business, financial condition, cash flows and results of operations. Non-compliance with laws and regulations, for example with respect to financial services licensing requirements, the marketing or providing of our products or services to users and consumer protection legislation in the jurisdictions in which our users reside, could affect the enforceability of our contracts. See “—</w:t>
      </w:r>
      <w:r>
        <w:rPr>
          <w:rFonts w:ascii="Times New Roman" w:cs="Times New Roman" w:eastAsia="Times New Roman" w:hAnsi="Times New Roman"/>
          <w:sz w:val="18"/>
          <w:szCs w:val="18"/>
          <w:i w:val="1"/>
          <w:iCs w:val="1"/>
          <w:color w:val="auto"/>
        </w:rPr>
        <w:t>We are subject to consumer protection regimes around the world, which impose restrictions on the way we market and distribute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about our products and services, set our requirements in relation to the fairness of terms with users and which may render our user terms unenforceable in whole or in part.</w:t>
      </w:r>
      <w:r>
        <w:rPr>
          <w:rFonts w:ascii="Times New Roman" w:cs="Times New Roman" w:eastAsia="Times New Roman" w:hAnsi="Times New Roman"/>
          <w:sz w:val="18"/>
          <w:szCs w:val="18"/>
          <w:color w:val="auto"/>
        </w:rPr>
        <w:t>” If regulators conclude that our marketing or financial promotions are not fair or clear, are misleading,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deceptive or abusive or that our conduct or our numerous third-party marketing partners’ conduct otherwise does not comply with applicable laws or regulations or that we have not complied with our AML, CTF, APF, Travel Rule or market abuse surveillance obligations, we may be exposed to significant criminal, administrative and civil penalties or other regulatory sanctions and we may be required to alter our marketing strategies in a manner which may impact the development of our business. For example, in July 2023, the Competition and Market Authority in Italy (</w:t>
      </w:r>
      <w:r>
        <w:rPr>
          <w:rFonts w:ascii="Times New Roman" w:cs="Times New Roman" w:eastAsia="Times New Roman" w:hAnsi="Times New Roman"/>
          <w:sz w:val="18"/>
          <w:szCs w:val="18"/>
          <w:i w:val="1"/>
          <w:iCs w:val="1"/>
          <w:color w:val="auto"/>
        </w:rPr>
        <w:t>Autorita’ Garante della Concorrenza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 Mercato</w:t>
      </w:r>
      <w:r>
        <w:rPr>
          <w:rFonts w:ascii="Times New Roman" w:cs="Times New Roman" w:eastAsia="Times New Roman" w:hAnsi="Times New Roman"/>
          <w:sz w:val="18"/>
          <w:szCs w:val="18"/>
          <w:color w:val="auto"/>
        </w:rPr>
        <w:t>) imposed a fine of €1.3 million on our subsidiary in connection with the marketing disclosures with respect to zero commission or zero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addition, in the EEA we are subject to regulatory oversight by multiple jurisdictions by virtue of our reliance on the financial services passporting regime. Similarly, in the United States, we are subject to a significant amount of federal and state regulatory oversight, which requires that we obtain and maintain numerous federal and state registrations and licenses and subjects us to multiple, and at time parallel and duplicative, reporting obligations, audits, investigations and regulatory actions. Disparate regulatory requirements, such as licensing, marketing, product and reporting obligations constitute a significant regulatory and operational burden, may require that we modify our product offerings, or the manner in which they are marketed and sold, based upon the location of our EEA or U.S. users. Failure to maintain licenses or registrations in particular jurisdictions may require that we cease marketing or providing some or all products and services to users located in that particular jurisdiction. We may also be subject to litigation, investigations, fines, disgorgement of income, sanctions, damages and additional penalties or restrictions that could significantly harm our business. Additionally, in connection with providing our services in multiple currencies, we may face scrutiny from financial regulators if we incorrectly set our foreign currency exchange rates.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we expand and localize our international activities, we have become increasingly obligated to comply with the laws, rules, regulations, policies and legal interpretations both of the jurisdictions in which we are regulated or serve users and those into which we offer and/or provide services on a cross-border basis. Laws regulating financial services, the internet, mobile technologies, cryptoassets and related technologies across jurisdictions often impose different, more specific, or even conflicting obligations on us, as well as broader liability. The complexity of the various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may be that, despite our regulatory and legal analysis as to our compliance frameworks or concluding that certain products and services are currently unregulated, such compliance frameworks may be deemed to be insufficient or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relies on various IT systems in order to provide and administer our products and services for our users. These systems may fail or otherwise encounter technical, issues, bugs or software errors (or similar) which result in us failing to comply with authorizations, approvals, licenses, permits or the regulatory frameworks to which we are subject. Any non-compliance could expose us to regulatory sanctions, litigation, investigations, fines and other penalties or restrictions that could harm our business and reputation.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unable to obtain or acquire additional licenses, registrations or other regulatory approvals which may be required for our business, or be unable to do so without changes to our business model, which may prevent us from servicing users in certain jurisdictions. For example, the Federal Financial Authority in Germany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rejected our application to provide cryptoasset custody and cryptoasset trading services in Germany, which has resulted in the ongoing wind-down of certain products and services in Germany. In this instance, we were able to mitigate the impact to clients by transferring certain assets to local providers for an interim period until the activation of our CASP license, however, in the future, we may be unable to source alternative providers and arrangements to mitigate the adverse impacts arising from such regulatory action.</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have compliance programs in place as well as compliance and risk management policies and procedures to deal with these dynamic regulatory obligations, we cannot guarantee that such compliance programs policies and procedures will ensure compliance at all times and in all cases, with all applicable laws, rules, regulations and guidance including in identifying or mitigating compliance and risk exposure in all markets or against all types of risk, in particular in jurisdictions with outcomes-based regulation. While we have devoted significant resources to develop our compliance and risk management policies and procedures and will continue to do so, there can be no assurance these are sufficient, especially as our business is growing rapidly and the regulatory landscape is constantly evolving. We are, and have been, in dialogue with certain regulators relating to compliance with applicable regulations. While we continue to review and enhance our compliance programs, regulators are likely to continue scrutinizing our operations for compliance with applicable regulations and may take issue with the manner in which we provide or market, or have provided or marketed, our services and products in the relevant jurisdiction. Furthermore, regulators may scrutinize certain practices or procedures across the industries or markets in which we operate, and could issue new regulatory guidance for all industry participants that would also require us to materially change our business practices. Regulators frequently reach out to firms, including in connection with thematic and industry wide reviews, and given our relatively high profile in the sector, we expect to be part of such regulatory outreach where relevant to our business. The result of any regulatory scrutiny or new regulatory guidance may be, for example, regulatory enforcement action, imposition of fines, certain of our subsidiaries losing their regulatory licenses or ability to conduct business in some jurisdictions, changes to our business model or ceasing to do business in particular jurisdictions or in relation to particular products or services, which may have a material impact on our business. Further, any enhancements we make to our compliance programs may prove to be ineffective and may not shield us from liability for actual or perceived breaches of applicable regulatory obligations.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Regulatory investigations and settlements could cause us to incur additional expenses or change our business practices in a manner material and adverse to our business and could significantly damage our reputation. In the past, when such risks have materialized, we have been required to pay fines and update our products and services or restrict access to such products and services, or otherwise reorganize or discontinue all or part of our business in specific jurisdictions with a view to compliance with applicable regulations or enforcement actions. For example, on September 12, 2024, eToro USA LLC entered into a settlement agreement with the SEC, a result of which eToro USA LLC limited its cryptoasset trading offering in the United States to spot trading of bitcoin, bitcoin cash and ether. It is possible that we will be required to update or restrict access to our products and services again in the future, or otherwise reorganize or discontinue elements of our business in particular jurisdictions. Subsequently, in light of the evolving guidance from the SEC, including statements and actions of the SEC’s Crypto Task Force and SEC Chairman Atkins indicating their views that certain cryptoassets previously treated as securities may not constitute securities under the federal securities laws, eToro USA LLC expanded its U.S. cryptoasset offering over the course of 2025 to over 100 cryptoassets and re-introduced additional features such as staking services. There can be no assurance that the current U.S. regulatory environment will persist, and any reversal of, or changes to, the SEC’s guidance regarding the status of cryptoassets under the federal securities laws could require us to again restrict, suspend or discontinue trading in some or all of the cryptoassets currently available to our U.S. users, which could have an adverse effect on our business, financial condition, cash flows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regimes around the world, which impose restrictions on the way we market and distribute information about our products and services, set our requirements in relation to the fairness of terms with users and which may render our user terms unenforceable in whole or in part.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seen increasing focus on consumer protection globally. For example, the U.K. implemented a “consumer duty,” which remains a key priority under the FCA’s 2025-2030 Strategy, and as part of its Saving and Investments Union Strategy (formerly the Capital Markets Union Action Plan) the European Commission published its Retail Investment Strategy (“RIS”) and retail investor package in May 2023. The Australian financial services regime specifically requires firms to take a consumer-centric approach to product design and take reasonable steps to ensure financial products reach the consumers in the target market for those products. U.S. federal and state laws also broadly prohibit unfair competition and unfair, deceptive and abusive acts and practices. These consumer-focused regulations impose requirements on us in the way we market and offer our products around the world. These requirements are costly to maintain and difficult to enforce in the many jurisdictions in which we are regulated or serve users.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has been, and may continue to be, a trend towards “outcomes-based” and guidance-driven regulations in many of the material jurisdictions where we are directly regulated. That is, instead of, or in addition to, determining compliance by reference to whether a regulated firm has taken relevant steps or implemented certain processes, regulators are now assessing compliance by reference to whether firms actually deliver good outcomes for retail clients. The increased focus on outcomes may also result in subjectivity of interpretation and application, meaning it could be unclear to us how regulators will determine if we have satisfied our obligations. We have in the past, and may in the future, be subject to regulators in different jurisdictions forming differing views as to whether we have delivered good outcomes for our users, despite adopting the same or substantially similar approaches to compliance with the obligations in each respective jurisdiction. Compliance with differing jurisdictions’ interpretations of regulations can be costly, time consuming and adversely affect our business, financial condition, cash flows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agreements with users will be subject to broad consumer protection rules in various jurisdictions, which may impact the enforceability of certain terms of user agreements or the user agreements as a whole. In addition, courts, regulators and other government agencies may have broad powers under consumer protection rules. For example, in the U.K., the Consumer Rights Act 2015 provides that a consumer may challenge a term in an agreement on the basis that it is “unfair” and is therefore not binding on the consumer (although the rest of the agreement will remain enforceable if it is capable of continuing in existence without the unfair term) and provide that a regulator may take action to stop the use of terms which are considered to be unfair. Contraventions or alleged contraventions of such consumer protection rules in various jurisdictions applicable to us may result in litigation, unenforceable user terms, customer redress exercises and monetary settlements.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best execution requirements or changes to regulatory frameworks governing best execution practices could result in penalties or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our licensing profile, we are subject to “best execution” requirements under applicable regulations in multiple jurisdictions, for some of the products we offer. Requirements vary between different jurisdictions and may, for example, require us to obtain the best reasonably available terms for users’ orders or to take sufficient steps to obtain, when executing orders, the best possible results for clients. We may, for example, be required to use reasonable diligence so that the price to the user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user. In such cases, although we are not required to examine every user’s order individually for compliance, we must undertake regular and rigorous reviews of the quality of our user order execution. We face the risk of investigations or penalties in the future related to our best execution practices. We might also be adversely affected in the future by regulatory changes related to our obligations with regard to best execution. There is a risk that regulatory bodies may adopt additional regulation relating to best execution requirements as a result of heightened scrutiny or otherwise. Any such regulations could have a material adverse impact on our business and one of our significant sources of revenue. We may be penalized if we fail to comply with these requirements and these requirements might be modified in the future in a way that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manage sanctions-related risks posed by our users and third parties.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comply with applicable sanctions laws and regulations. Sanctions laws and regulations can change frequently and at short notice, and target new persons, sectors or countries. In the current geopolitical climate, there is a risk that sanctions laws will continue to evolve and further restrictions will be implemented, including in relation to jurisdictions such as Russia. Following Russia’s invasion of Ukraine in February 2022, significant new sanctions laws and regulations have been imposed by multiple jurisdictions on Russia and Belarus. We have also seen certain jurisdictions impose limited sanctions connected to certain persons in Israel. Any deterioration in the current geopolitical climate could see further changes in sanctions laws and regulations, which could lead to increased operational costs or resourcing being required across the business to address such matters.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changes to sanctions laws can be implemented with little to no notice, we are required to react quickly to any developments. This could include, for example, blocking accounts or halting trading in certain securities. In the event that we are required to take any such steps, it could lead to users or other parties alleging they have suffered loss and seeking to assert claims against the business, which would negative impact our financial condition. We have implemented policies, procedures and controls reasonably designed to promote compliance with applicable sanctions laws.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2019, we have taken steps to close user accounts based in Russia or Belarus and halt trading in Russian securities. As of the date of this annual report, certain limited non-sanctioned users in Russia and Belarus remain open owing to the sanctions that have been imposed by the U.S. and other jurisdictions against Russian financial institutions. As a result of those sanctions, we have been unable to transfer funds belonging to those users to their financial institutions. All such accounts have been restricted, and no new deposits are accepted. While there is a risk that such users could become subject to sanctions, all such accounts are already effectively frozen. If any such users became subject to sanctions, we may be required to submit reports to applicable regulators and/or seek licenses to close such accounts, which may be time consuming and harm our reputation.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operational, regulatory and reputational risks related to our CopyTrader program and Smart Portfolios.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social features, specifically CopyTrader and Smart Portfolios, which allow users to follow and replicate the trading activities of other users or portfolios, respectively, may expose us to certain operational, regulatory and reputational risks. CopyTrader and Smart Portfolios require us to execute numerous simultaneous trades on behalf of users who have chosen to replicate the trading activities of such accounts or portfolios on our platform. The regulatory treatment of copy trading is inconsistent across the jurisdictions in which we are regulated or serve users and is subject to changing regulatory requirements and obligations. Regulatory changes in relation to social trading offerings may require us to change our products or business practices or obtain new licenses and authorizations and may adversely affect our business and financial results. It is also relevant that the approach taken to regulating copy trading services, including CopyTrader and Smart Portfolios, may differ in the jurisdictions in which we are regulated or serve users, which requires us to adapt how this service is provided based on where a particular user is located and, in turn, leads to us incurring significant costs to make this offering available globally or the imposition of restrictions of such services.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ESMA has made several publications with respect to copy trading services, which sets out supervisory expectations with regard to firms’ compliance with relevant information requirements (including on marketing, costs and charges), product governance, suitability and appropriateness assessments, remuneration and inducements and additional elements. In the U.S., CopyTrader is currently only available on a limited basis and we may be required to suspend our offering of CopyTrader if FINRA does not approve a Continuing Membership Application we have filed in connection with the continued launch and operation of the CopyTrader service.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Compliance with regulations, and ensuring we are aware of new and upcoming regulations, is timely and costly, and failure to comply may lead to fines and penalties and customer redress, which would adversely affect our business, financial condition, cash flows and results of operations. See “Item 4.B. Business Overview—State of Regulation—Social Investing.”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the complexities associated with executing large volumes of trades in real-time create significant operational challenges, including increased system demands, data processing requirements and the need for high-performance trading infrastructure. This includes where a large number of individuals copy the trading undertaken by a single “Pro Investor,” which creates a risk that there may be a large number of trades which fail to settle due to the volume of trades which need to be executed, as compared to the availability of that asset in the market. By extension, this could have broader impacts on market integrity. Users may therefore suffer losses while using these features and we may face increased user dissatisfaction, potential claims for financial losses and adverse publicity as a result. These products also involve significant reliance on the individual strategies of participating users, which may not be entirely transparent or predictable and exposes us to the risks of improper or unsuitable trading behavior, including trading behavior amounting to market abuse, by those whose strategies are followed or copied. In addition, ensuring that the CopyTrader service meets product governance requirements (including relating to target market determination), suitability requirements and appropriateness requirements relies on the relevant user being copied continuing to trade in a way which is consistent with our initial assessment of their portfolio, and our ability to have transparency over this.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“social trading” and the use of influencers may expose us to regulatory and reputational risks.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social aspect of our platform exposes us to risks, some of which are similar to any other social media company. However, certain of these risks present unique risks given our financial services offering. Statements made by our users through our platform may be misleading or manipulative and could lead to abusive or disorderly trading and/or result in users entering into transactions that are not suitable for them. We may incur liability as a result of information received from third-parties made available through our platform or claims related to our products. Further, we moderate the content put out by our users on our platform in a manner consistent with laws, rules and regulations governing social media platforms, such as the Digital Services Act (the “DSA”) in Europe as well as other applicable laws, rules and regulations. Enforcement of the DSA has intensified, with the European Commission imposing its first significant fine under the DSA in December 2025 and initiating proceedings against several very large online platforms for, among other things, failures relating to advertising transparency and content moderation. While we are not designated as a very large online platform, the DSA imposes obligations on all online intermediaries, including content moderation, transparency and advertising disclosure requirements, and national Digital Services Coordinators may supervise our compliance. Violations of the DSA may result in fines of up to 6% of annual worldwide turnover.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Pro Investor Program and our social network, we also work with a number of social influencers in connection with the marketing of certain of our products and services. Regulators, including the EEA and the FCA in the U.K., are taking targeted action against “finfluencers” who are found to be promoting financial services products illegally. For example, ESMA has published guidance directed at financial influencers, or “finfluencers,” reminding content creators that EU rules on investment recommendations and advertising, including under the Market Abuse Regulation, apply in full to online financial content, including content relating to cryptoassets. National competent authorities, including CONSOB in Italy, have reinforced this position and indicated that finfluencer activity will be supervised and enforced alongside traditional market conduct rules. Further, The RIS package introduces, among other things, provisions addressing the activities of financial influencers. Content published by users on our platform, including by Pro Investors whose strategies are copied by other users, could be determined by regulators to constitute investment recommendations subject to these requirements.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work with third-party affiliates and partners who are based in a number of jurisdictions to promote our platform, including jurisdictions in which we are specifically licensed and/or authorized, as well as jurisdictions in which we are not specifically licensed or authorized where we rely on advice of counsel on the parameters of permissible cross-border business. See “—</w:t>
      </w:r>
      <w:r>
        <w:rPr>
          <w:rFonts w:ascii="Times New Roman" w:cs="Times New Roman" w:eastAsia="Times New Roman" w:hAnsi="Times New Roman"/>
          <w:sz w:val="18"/>
          <w:szCs w:val="18"/>
          <w:i w:val="1"/>
          <w:iCs w:val="1"/>
          <w:color w:val="auto"/>
        </w:rPr>
        <w:t>We operate, offer and market services in markets where the applicability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 regulatory framework can be unclear or open to interpretation in respect of certain of our products and services and where the regulatory parameters and enforcement approaches may change over time.” </w:t>
      </w:r>
      <w:r>
        <w:rPr>
          <w:rFonts w:ascii="Times New Roman" w:cs="Times New Roman" w:eastAsia="Times New Roman" w:hAnsi="Times New Roman"/>
          <w:sz w:val="18"/>
          <w:szCs w:val="18"/>
          <w:color w:val="auto"/>
        </w:rPr>
        <w:t>We may be negatively affected by the actions of the third-party affiliates and partners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outside of the acceptable legal and regulatory parameters when promoting our platform. We may also be negatively affected should any bans or registration requirements be imposed on our use of such third-party affiliates and partners in any applicable jurisdiction.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monitor the social activity of our users and the Pro Investors and the promotional activity of our third-party affiliates and partners, some actions they take may not be detected. In such circumstances, we may be subject to regulatory and other proceedings that might subject us to, among other consequences, fines, penalties and monetary settlements, any of which may harm our reputation and brand, require substantial management attention, customer redress, result in additional compliance requirements and in certain of our subsidiaries losing their ability to conduct business in some jurisdictions, increase regulatory scrutiny of our business, restrict our operations or require us to change our business practices, including how we market our products and services.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and any new regulations, legislation or guidance imposed in connection with social trading, digital engagement practices or the marketing of financial products via social influencers, or the actions of social influencers or users who are deemed to be acting in violation of applicable laws, could require us to change our marketing or business practices, expose us to regulatory enforcement action, including fines, sanctions, penalties and prohibitions on the conduct of our business, and result in user complaints, litigation and negative publicity, any of which may adversely affect our business, financial condition, cash flows, results of operations and reputation.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Legislators and regulators in jurisdictions in which we operate have in the past, and may in the future, solicit comment from the public on proposed or adopted laws or regulations relating to use of “game-like” features, predictive analytics or other digital engagement features or practices in various services, including potential conflicts of interests that may arise as a result of such practices. If such laws or regulations are adopted in jurisdictions in which we operate and are deemed to apply to our products and services, we may be required to change the way in which we market our offering, which could materially adversely affect our business. Furthermore, we may be negatively affected by the actions of users that are deemed to be hostile or inappropriate by other users or by the actions of users acting under false or inauthentic identifies. In such events, we could suffer from user complaints, litigation and negative publicity.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provide a variety of investment education and tools, including our CopyTrader and Smart Portfolio features and the “eToro Academy,” an education hub with free resources to improve users’ understanding of financial markets. We also operate the “eToro Club” for users with various tiers of membership. We do not consider these resources or tools to constitute inducement, investment advice or investment recommendations, but we cannot guarantee that such services would not be construed as constituting and inducement, investment advice or recommendations by users or regulatory agencies, which could require us to change the way in which we interact with our users, which may materially adversely affect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offer and market services in markets where the applicability of the regulatory framework can be unclear or open to interpretation in respect of certain of our products and services and where the regulatory parameters and enforcement approaches may change over time.</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operate in certain jurisdictions, offer and market services or provide services to users in certain jurisdictions, in which we are not specifically licensed or authorized. We do so based on our management’s estimation of the legal and regulatory requirements in the relevant jurisdiction (including an assessment of the likelihood of enforcement action being taken against us). We may be subject to fines, penalties or otherwise forced to cease providing certain products or services should a local regulatory agency or other authority determine that our conduct is not in compliance with local laws or regulations, including marketing local licensing or authorization requirements. Further, we face similar risks should the regulatory environment in a jurisdiction change, including a circumstance where laws or regulations or marketing licensing or authorization requirements that previously were not in force come into force or where local views and understandings change. In certain jurisdictions, our determination takes into account advice sought from local counsel as to whether certain parts or the entirety of our business in such jurisdictions, or the products (including cryptoassets) and services that we market or offer to users in those jurisdictions, are subject to local marketing or licensing requirements or other regulations or are otherwise covered by our existing regulatory licenses. This legal advice is qualified by assumptions and those assumptions may turn out to be inconclusive or incorrect and subject to change. Furthermore, such legal advice applies only as of the date such decision was rendered. It is possible that the legal and regulatory framework informing such legal advice may change at any time. Our processes for refreshing this advice periodically may not identify relevant changes in laws and regulations immediately or in a timely manner. In addition, it is possible that a regulator may disagree with our interpretation of the applicability of a regulatory framework to our business or that our interpretation may be incorrect, in particular in circumstances where the underlying rules are unclear or subject to interpretation. Failure to comply with relevant licensing, registration or other regulatory requirements or regulations could lead to reputational damage to us, limit our ability to grow or continue to operate our business in certain jurisdictions, reduce revenues in a particular jurisdiction, negatively impact our relationships with regulators, expose us to the risk of regulatory fines, penalties and sanctions, or render our contracts with our users unenforceable.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example, in March 2024, the Philippines Securities and Exchange Commission issued an advisory notice which, among other things, stated that we are not authorized to sell or to offer securities to the public in the Philippines. Following publication of such notice, we have ceased onboarding and have off-boarded of all users based in the Philippines. We have in the past been the subject of similar notices, or have been named as unlicensed entities, in other jurisdictions, and there can be no assurances that we won’t receive, or be the subject of, similar notices in the future from relevant securities regulators in the jurisdictions in which we are regulated or serve users. Such notices could lead to reputational damage to us, limit our ability to grow or continue to operate our business in certain jurisdictions, reduce revenues in particular jurisdictions, negatively impact our relationship with regulators, expose us to the risk of regulatory fines, penalties, or sanctions or render our contracts with our users unenforceable.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litigation (including class actions), claims and potential liabilities under laws and regulations applicable to financial services, including enforcement actions, investigations and examinations of regulatory authorities in jurisdictions in which we are regulated or serve users or have users.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volume of claims (including disputes with users) and the amount of damages and fines claimed in litigation and regulatory proceedings, as well as the overall risk of class actions against financial services firms, has been increasing and may continue to increase, particularly following our initial public offering. For example, ASIC has commenced proceedings against eToro AUS Capital Ltd. in connection with the manner in which it has sold contracts for difference products in Australia. See “—</w:t>
      </w:r>
      <w:r>
        <w:rPr>
          <w:rFonts w:ascii="Times New Roman" w:cs="Times New Roman" w:eastAsia="Times New Roman" w:hAnsi="Times New Roman"/>
          <w:sz w:val="18"/>
          <w:szCs w:val="18"/>
          <w:i w:val="1"/>
          <w:iCs w:val="1"/>
          <w:color w:val="auto"/>
        </w:rPr>
        <w:t>Our business is subject to an extensive, complex, overlapping and constantly changing regulatory landscape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adverse changes to, or our failure to comply with, any laws and regulations could adversely affect our business, financial condition, cash flows and results of operations</w:t>
      </w:r>
      <w:r>
        <w:rPr>
          <w:rFonts w:ascii="Times New Roman" w:cs="Times New Roman" w:eastAsia="Times New Roman" w:hAnsi="Times New Roman"/>
          <w:sz w:val="18"/>
          <w:szCs w:val="18"/>
          <w:color w:val="auto"/>
        </w:rPr>
        <w:t>.” The amounts involved in the trades we execute, together with rapid price movements in certain assets can result in potentially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 claims in any litigation resulting from such trades or other products or services provided by us. Due to our large user base, class action lawsuits against us may claim large monetary damages, even if the alleged per user harm is small or nonexistent. The social networking aspect of our platform enables our users to communicate with each other regarding their trades on our platform, which could lead to amplification of complaints or coordination between users. If many of our users lose money, they may share this fact on our platform and other social networks, which could result in increased regulatory scrutiny. Dissatisfied users, regulators or SROs may make claims against us regarding the quality of trade execution, improperly settled trades, mismanagement or even fraud, and these claims may increase as our business continues to expand. This increased scrutiny may be costly and time-consuming and may divert our resources from other business priorities. In addition, the outcome of any proceedings against us may cause or otherwise encourage other regulators, users or otherwise to take action against us, including regulatory investigations and litigation. Further, outcomes in any regulatory actions may be followed closely by other jurisdictions in which we are regulated or serve users, heightening the risk for additional regulatory inquiries.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we prevail in any litigation or enforcement proceedings against it, we could incur significant legal expenses, expend significant resources and divert management attention in order to handle such claims, even those without merit. Moreover, because even meritless claims can damage our reputation or raise concerns among our users, we may feel compelled to settle claims at significant cost. The initiation of any claim, proceeding or investigation against us, or an adverse resolution of any such matter could have a material adverse effect on our reputation, business, financial condition, cash flows and results of operations.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we are subject to ongoing examinations, audits, inquiries, oversight and reviews by financial services regulators, including the FCA, CySEC and ASIC, each of which have broad discretion to audit and examine our business, as well as U.S. federal and state regulators, including the SEC, the CFTC, Financial Crimes Enforcement Network (“FinCen”) and SROs, such as FINRA. For example, CySEC has initiated enquiries to eToro Europe with respect to various aspects of our operations, services and products. See “—Our business is subject to an extensive, complex, overlapping and constantly changing regulatory landscape” and “—We have been subject to regulatory inquiries, audits, examinations, investigations, actions and settlements” for further detail.</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eToro USA Securities Inc., our registered broker-dealer subsidiary, is subject to regulation and examination by the SEC and FINRA. As part of its regulatory authority, FINRA periodically conducts regulatory exams of its member firms. FINRA licenses individuals and admits firms to the industry, writes rules to govern their behavior subject to oversight and approval by the SEC, examines them for regulatory compliance and disciplines registered representatives and member firms that fail to comply with federal securities laws and FINRA’s rules and regulations. See “—If we fail to comply with applicable laws, rules and regulations” for a description of our September 2024 settlement with the SEC and subsequent developments regarding our U.S. cryptoasset offering.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findings from other audits, inquiries and examinations, regulators have imposed, are imposing, and may in the future impose remedial measures on us requiring us to take certain actions, including amending, updating, or revising our compliance measures or outsourcing arrangements, limiting the kinds of users to which we may provide services, or changing, terminating, or delaying the introduction of new or existing products and services, and any ongoing or future investigation could result in the imposition of injunctions, cease and desist orders, monetary relief such as disgorgement or civil penalties, or undertakings requiring the retention of compliance consultants or monitors, or could require us to limit or cease trading activities or operations entirely in the relevant jurisdiction. Furthermore, we have received, and may in the future receive, examination reports citing potential and actual violations of rules and regulations, inadequacies in our existing compliance programs, and which require us to enhance certain practices with respect to our compliance program, including due diligence, monitoring, training, reporting and recordkeeping.</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Implementing appropriate measures to properly remediate these examination or audit findings, or findings resulting from these inquiries, may require us to incur significant costs, and if we fail to properly remediate any of these findings, we could face civil litigation, regulatory proceedings,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shared and centralized group services and resources may expose us to risks and could give rise to significant costs and liabilities.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number of our subsidiaries interact with one another for various purposes. In particular, certain of our subsidiaries outsource certain functions to other subsidiaries on an intra-group basis and rely on centralized group services. This reliance on shared and centralized group services and resources has in the past and may in the future expose us to regulatory scrutiny, particularly in areas such as cryptoasset trading, custody and governance. As a result of these types of determinations, certain of our subsidiaries may be required to discontinue specific services or replicate these functions through internal resources or third-party providers. Such measures could significantly increase our operating costs and reduce our revenues associated with these activities. Any failure to comply with such laws and regulations may expose us to regulatory liability and enforcement actions, including substantial fines, limit our ability to provide products and services, subject us and such affiliates to litigation, significant financial losses, damage our reputation, and adversely affect our business, financial condition, cash flows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capital and liquidity requirements which may affect our ability to distribute profits and/or restrict expansion, which may further affect our ability to conduct our business and may reduce profitability.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required by regulators to maintain sufficient funds and financial soundness to adequately support our regulated subsidiaries. The amount that we are required to hold by each regulator is generally calculated to ensure that we have appropriate liquidity and capital to cover our overhead requirements, market risk, credit risk and operational risk. We may from time to time incur indebtedness and other obligations which could make it more difficult to meet these capitalization requirements or any additional regulatory requirements. Regulators continue to evaluate and modify regulatory capital and liquidity requirements from time to time as part of their supervisory remit and in response to market events and to improve the stability of the international financial system. Such scrutiny by regulators may result in us being required to hold additional financial resources in the future as a result of changing regulatory expectations. Additional revisions to this framework or new capital adequacy or liquidity rules applicable to us may be adopted, or regulators may otherwise request or demand that we increase our levels of liquidity and/or capital in a given jurisdiction, which could further increase our minimum capital or liquidity requirements in the future, have an adverse effect on our business, financial condition, cash flows and results of operations, or result in the removal of permissions to operate, fines and public censures. Even if regulators do not change existing regulations or adopt new ones or make any such request or demand, our minimum capital and liquidity requirements will generally increase in proportion to the size of our business and additional factors such as volatility in the prices of securities, including cryptoassets. As a result, we will need to increase our regulatory capital and liquidity in order to comply with our capital adequacy regulatory obligations, and additionally our inability to increase our capital in a cost-efficient manner could constrain our growth. In addition, in many cases, we are not permitted to withdraw regulatory capital maintained by our subsidiaries without prior regulatory approval or notice, which could constrain our ability to allocate our capital resources most efficiently throughout our global operations. In particular, these restrictions could adversely affect our ability to withdraw funds needed to satisfy our ongoing operating expenses, debt service and other cash needs and could limit any future decision by our board to declare dividends.</w:t>
      </w:r>
    </w:p>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terms of our user agreement, the structure of our cryptoasset offerings and applicable law, after consultation with internal and external legal counsel, we believe that the cryptoassets we hold in custody for users of our platform should be respected as users’ property (and should not be available to satisfy the claims of our general creditors) in the event we were to enter bankruptcy.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if we do not maintain the regulatory capital and liquidity levels required, our business may be restricted, fined or subject to other disciplinary or corrective actions, which could harm our business, financial condition, cash flows, results of operations and prospects and could result in the wind-down of impacted eToro entities.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or perceived failure to comply with laws, regulations, or other requirements relating to privacy, security and the processing of personal information, could give rise to significant costs and liabilities, and may have a material and adverse impact on our business, financial condition, cash flows and results of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running our business, we obtain and process large amounts of information that relates to individuals, and that may constitute “personal data,” “personal information,” “nonpublic personal information” or similar terms under applicable data privacy and security laws, including information related to our users and their transactions (collectively, “personal information”). We face risks, including to our reputation, business operations and financial condition, in the handling and protection of this personal data, and these risks are likely to increase as our business continues to expand.</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are various local, state, federal and international laws, directives, regulations and other requirements related to the privacy, security and processing of personal information that apply to our collection, use, retention, protection, disclosure, transfer and processing of personal information, the scope of which are changing, subject to differing interpretations, and may be inconsistent among jurisdictions, or conflict with other rules or other actual or asserted obligations. These include, among others, the European Union General Data Protection Regulation (“E.U. GDPR”) and the U.K. General Data Protection Regulation and Data Protection Act 2018 (collectively, the “U.K. GDPR,” and, together with the E.U. GDPR, the “GDPR”), which impose comprehensive data privacy compliance obligations, including in relation to cross-border transfers of personal information out of the EEA and U.K.; the Gramm-Leach-Bliley Act (“GLBA”) and Regulation S-P, under which we are considered a “financial institution” and a “covered institution”; the California Consumer Privacy Act (“CCPA”), as amended by the California Privacy Rights Act; comprehensive consumer data privacy statutes that have been enacted in approximately twenty U.S. states and continue to proliferate; and various laws governing marketing, advertising and electronic communications. We are also subject to contractual obligations to third parties related to privacy, data protection and cybersecurity. These data protection and privacy-related laws and obligations continue to evolve in ways that could adversely impact our business. The GDPR imposes restrictions on the transfer of personal data outside the EEA and U.K. While the E.U.-U.S. Data Privacy Framework (“DPF”) survived a legal challenge before the EU General Court in September 2025, that ruling has been appealed to the Court of Justice of the European Union. Developments in the United States have introduced additional uncertainty regarding the continued validity of the DPF. If the DPF were to be invalidated or if regulators were to impose additional requirements on cross-border data transfers, we may need to implement alternative transfer mechanisms, incur additional compliance costs, or modify our operations, any of which could adversely affect our business. We have been, and may in the future be, subject to assessment notices, audits and inquiries from data protection authorities, including the Cyprus data protection authority. In addition, we may be subject to regulatory investigations, enforcement notices, orders to cease or modify our data processing activities, and reputational damage.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been, and may in the future be, subject to assessment notices, audits and inquiries from data protection authorities, including the Cyprus data protection authority. In addition, we may be subject to regulatory investigations, enforcement notices, orders to cease or modify our data processing activities, and reputational damage.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to meet GDPR requirements could result in penalties for non-compliance. Since we are subject to the supervision of relevant data protection authorities under both the E.U. GDPR and U.K. GDPR, we could be fined under those regimes independently in respect of the same breach. Such penalties are in addition to any civil litigation claims (including class actions) by users and data subjects. We are currently subject to an assessment notice (for a compulsory audit) from the Cyprus data protection authority which had no findings that would materially impact our business or operations, and may be subject to such notices in the future. In addition to fines and assessment notices, we may be subject to regulatory investigations, reputational damage, orders to cease/change our data processing activities, enforcement notices.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laws and regulations apply to the collection, processing, disclosure and security of personal information. Federal and state regulators, including the Federal Trade Commission and state attorneys general, are increasingly active in interpreting and enforcing consumer protection and data privacy laws. Comprehensive consumer data privacy statutes have been enacted at the federal level for certain financial institutions and in approximately twenty U.S. states., including California, where the CCPA (as amended by the California Privacy Rights Act) has been significantly expanded through new regulations governing automated decision-making, risk assessments and cybersecurity audits. At the federal level in the U.S., the SEC has initiated enforcement actions alleging violations of Regulation S-P for failing to adopt and implement reasonably designed policies and procedures with respect to data protection requirements. State attorneys general have also become increasingly active in enforcement, and additional states are expected to adopt data privacy legislation. In addition, regulators in the United States and the European Union are increasingly focused on the use of artificial intelligence and automated decision-making, including through new legislative frameworks such as the EU AI Act and emerging U.S. state AI governance laws, which may impose additional compliance obligations on our use of algorithmic tools in our products and services.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interpretation and application of consumer and data protection laws in the United States, Europe and elsewhere are often uncertain and evolving, and may be interpreted and applied in a manner that is inconsistent with our interpretation of such data protection laws and practices. If so, we may be ordered to change our data practices and/or be fined. Complying with these dynamic laws has caused, and could continue to cause, us to incur substantial costs, which could have an adverse effect on our business and results of operations. Additionally, these laws could require significant changes to our operations or even prevent us from providing certain offerings in jurisdictions in which we currently operate.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our efforts to comply with applicable laws, regulations and other obligations relating to privacy, data protection and information security, it is possible that our practices, offerings, or platform, or those of our third-party providers, could fail, or be alleged to fail, to meet applicable requirements. For instance, the overall regulatory framework governing the application of privacy laws to blockchain technology is still highly undeveloped and likely to evolve. Our failure, or the failure by our third-party providers or partners, to comply with applicable laws, regulations, or other obligations and to prevent unauthorized access to, or use or release of personal information, or the perception that any of the foregoing types of failure has occurred, could result in fines or other penalties by governmental agencies and private claims and litigation (including class action litigation). Further, these proceedings and any subsequent adverse outcomes may subject us to significant negative publicity and an erosion of trust. If any of these events were to occur, it could adversely affect our business, financial condition and results of operations. In addition, as we expand, we may assume liabilities for breaches experienced by any companies we acquire and their failures to comply with applicable legal privacy and data protection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Cryptoassets and Cryptoasset Markets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development and growth of cryptoassets is subject to a variety of factors that are difficult to predict and evaluate, including volatility of market price and trading volume.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Cryptoassets such as bitcoin, ether and other cryptoassets were introduced within the past two decades, and the medium-to-long-term value of our cryptoasset services is subject to a number of factors relating to the capabilities and development of blockchain and cryptographic technologies, the vulnerability to future technological development and the fundamental investment characteristics of cryptoassets. If cryptoassets decline or do not grow as we expect, whether in terms of value, volume or demand, our business, financial condition, cash flows and results of operations could be materially adversely affected.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future growth and development of any cryptoassets and their underlying networks and other cryptographic and algorithmic protocols governing the creation, transfer and usage of cryptoassets represent a new and evolving paradigm that is subject to a variety of factors that are difficult to evaluate, including:</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price volatility with respect to different cryptoassets.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cryptoasset networks have limited operating histories, have not been validated in production and are still in the process of developing and making significant decisions that will affect the design, supply, issuance, functionality and governance of their respective cryptoassets and underlying blockchain networks, any of which could adversely affect their respective cryptoassets.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cryptoasset networks have limited operating histories or are in the development process, which could introduce bugs, security risks or adversely affect the respective cryptoasset networks.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large networks, including Bitcoin and Ethereum, are developing new features to address fundamental speed, scalability and energy usage issues. If these issues are not successfully addressed, or are unable to achieve widespread adoption, it could adversely affect the underlying cryptoassets.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issues, bugs and software errors have been identified with many cryptoassets and their underlying blockchain networks, some of which have been exploited by malicious actors. There are also inherent security weaknesses in some cryptoassets, such as when creators of certain cryptoasset networks use procedures that could allow hackers to counterfeit tokens. Moreover, investments held in decentralized finance (“DeFi”) protocols are subject to significant risks, including smart contract vulnerabilities. If one or more malicious actors or botnets (a volunteer or hacked collection of computers controlled by networked software coordinating the actions of the computers) obtains a majority of the compute or staking power on a cryptoasset network, as has happened in the past, it may be able to manipulate transactions, which could cause significant financial losses to holders, damage the network’s reputation and security and adversely affect our business and financial condition.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technologies for mining, such as improved application-specific integrated circuits, or changes in industry patterns, such as the consolidation of mining power in a small number of large mining farms, could reduce the security of blockchain networks, lead to increased liquid supply of cryptoassets and reduce a cryptoasset’s price and attractiveness.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rewards and transaction fees for miners or validators on any particular cryptoasset network can be unpredictable. If they are not sufficiently high to attract and retain miners, a cryptoasset network’s security and speed may be adversely affected, increasing the likelihood of a malicious attack. Conversely, if higher transaction fees are demanded, the cost of using the applicable cryptoasset may increase which may cause user dissatisfaction and reduce demand of such cryptoasset.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cryptoassets have concentrated ownership or an “admin key,” allowing a small group of holders to have significant unilateral control and influence over key decisions relating to their cryptoasset networks, such as governance decisions and protocol changes, as well as the market price of such cryptoassets.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of many decentralized blockchain networks is by voluntary consensus and open competition, and many developers are not directly compensated for their contributions. As a result, there may be a lack of consensus or clarity on the governance of any particular cryptoasset network, a lack of incentives for developers to maintain or develop the network, and other unforeseen issues, any of which could result in unexpected or undesirable errors, bugs, or changes, or stymie such network’s utility and ability to respond to challenges and crises and grow.</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cryptoasset networks are in the early stages of developing partnerships and collaborations, all of which may not succeed and adversely affect the usability and adoption of the respective cryptoassets.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liquid markets in certain cryptoassets, and these markets are subject to possible manipulation.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cryptoassets have concentrated ownerships, and large sales or distributions by holders of such cryptoassets, or “whales,” could have an adverse effect on the market price of such cryptoassets;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cryptoassets have been, and may in the future continue to be, exploited to facilitate illegal activity such as fraud, money laundering, tax evasion and ransomware scams.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Acceptance and/or widespread use of cryptoassets is uncertain and the prices of cryptoassets can be extremely volatile. For example, in 2024, the trading price of bitcoin fluctuated from a high of approximately $108,000 to a low of approximately $39,000, and in 2025 bitcoin also experienced significant volatility, reaching highs above $120,000 before declining to approximately $75,000. The revenue and net trading income for our cryptoasset business is substantially dependent on the prices of cryptoassets and volume of cryptoasset transactions conducted on our platform. If such price or volume declines, this would materially adversely affect the success of our business, financial condition, cash flows and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currently support several cryptoassets for trading, market interest in particular cryptoassets can also be volatile and there are many cryptoassets in the market that we do not support. For example, for the years ended December 31, 2025, December 31, 2024 and December 31, 2023, cryptoassets accounted for 29%, 38% and 17% of our commission from trading activity, respectively. Our business could be materially adversely affected, and growth in our Net Trading Contribution (cryptoassets) could slow or decline, if the markets for cryptoassets we support deteriorate or if demand moves to other cryptoassets not supported by our platform.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 relevant cryptoasset network’s global miner, user and development communities. If any such risks or other risks materialize in particular if they are not resolved, the development and growth of cryptoassets may be significantly affected and, as a result, our business, financial condition, cash flows and results of operations could be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legal and regulatory regime governing cryptoassets is uncertain and still developing, and changes, clarifications or actions related to cryptoassets may adversely affect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has been and continues to be heightened regulatory scrutiny in respect of cryptoassets, including related services such as staking, in the U.S., E.U., the U.K. and other jurisdictions. In particular, the E.U. has introduced MiCA, which became fully applicable to cryptoasset service providers as of December 30, 2024, and we are subject to its requirements in respect of our European operations. In the United States, the regulatory landscape for cryptoassets continues to evolve rapidly. The Trump administration has signaled a more accommodative approach to cryptoasset regulation, including through executive orders establishing a national policy framework for cryptoassets and the formation of a dedicated SEC Crypto Task Force. The status of our staking under the U.S. federal and state securities laws remains uncertain. While we have implemented policies and procedures, including geofencing for certain products and services, designed to help monitor for and ensure compliance with existing and new laws and regulations, there can be no assurance that we and our employees, contractors, and agents will not violate or otherwise fail to comply with such laws and regulations. Legislative initiatives, including market structure frameworks like the U.S. CLARITY Act, are advancing in Congress but could be amended significantly before becoming adopted into law. Accordingly, while greater regulatory clarity may benefit our business over time, there can be no assurance that the current policy direction will be sustained, and future changes in administration, congressional composition, or regulatory priorities could result in a return to a more restrictive posture. In addition, newly enacted or proposed legislation may impose compliance requirements, licensing obligations, or restrictions on our products and services that differ materially from the current framework, including requirements that we may not be able to meet on a timely basis or without significant cost. See information in “Item 4.B. Business Overview—State of Regulation.”</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Presently, and in the future, various governmental and regulatory bodies may introduce new policies, laws and regulations relating to cryptoassets and the cryptoeconomy generally, and cryptoasset platforms in particular. Furthermore, new interpretations of existing laws and regulations may be issued by such bodies or the judiciary, which may adversely impact the development of the cryptoeconomy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cryptoasset transactions, as has occurred in certain jurisdictions in the past.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the accounting rules and regulations that we must comply with are complex and subject to interpretation by the IASB and various regulators and bodies formed to promulgate and interpret appropriate accounting principles and there have been limited precedents for the financial accounting for cryptoassets. Uncertainties in or changes in regulatory or financial accounting standards could result in the need to change our accounting policies, restate our financial statements or impair our ability to provide timely and accurate financial information, which could adversely affect our financial statements, result in a loss of investor confidence, or more generally impact our business, financial condition, cash flows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particular cryptoasset’s status as a “security” in any relevant jurisdiction is subject to a high degree of uncertainty and if we are unable to properly characterize a cryptoasset, we may be subject to regulatory scrutiny, investigations, fines and other penalties, which may adversely affect our business, financial condition, cash flows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Several jurisdictions have taken a broad-based approach to classifying cryptoassets, products and services as “securities,” while other jurisdictions have adopted a narrower approach. As a result, certain cryptoassets, products or services may be deemed to be a “security” under the laws of some jurisdictions but not others. Determining whether any given cryptoasset is a security is a highly complex, fact-driven analysis, the outcome of which is difficult to predict and may evolve over time based on changes in a particular cryptoasset and its related ecosystem. Different parties may reach different conclusions about the outcome of this analysis based on the same facts. For example, the SEC and its staff previously took the position that certain cryptoassets fall within the definition of a “security” under the U.S. federal securities lawsbut have recently signaled that many cryptoassets are not in fact securities. Nevertheless, there is little certainty under applicable legal and regulatory tests as to whether certain cryptoassets generally or specific cryptoassets are or are not securities, and any such determination has wide-ranging implications for the regulatory obligations that flow from the offer, sale, trading and clearing of such assets, including licensing, registration and qualification requirements. For example, eToro USA LLC entered into a settlement agreement with the SEC, which resulted in a civil penalty in the amount of $1.5 million to the SEC and changes to the scope of cryptoassets we market in the United States. See “</w:t>
      </w:r>
      <w:r>
        <w:rPr>
          <w:rFonts w:ascii="Times New Roman" w:cs="Times New Roman" w:eastAsia="Times New Roman" w:hAnsi="Times New Roman"/>
          <w:sz w:val="18"/>
          <w:szCs w:val="18"/>
          <w:i w:val="1"/>
          <w:iCs w:val="1"/>
          <w:color w:val="auto"/>
        </w:rPr>
        <w:t>—If we fail to comply with applicable laws, rules and regulations, including if we fail to adapt our business to new laws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that are promulgated from time to time, there is a high degree of risk that we would be subject to disciplinary actions, customer redress, fines and loss of licenses to provide our services, which may prevent us from serving users in certain jurisdictions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currently facilitate customer trades for certain cryptoassets that we have analyzed under applicable internal policies and procedures and, for cryptoassets supported on our platform, that we believe are not “securities” under the applicable laws in a relevant jurisdiction. Although we maintain a strict policy and we perform ongoing monitoring and legal review, our policies and procedures do not constitute a legal standard, but rather represent our company-developed risk-based assessment regarding the likelihood that a particular cryptoasset could be deemed a “security” under applicable laws. In the event that we determine that a supported cryptoasset could be deemed a security or that the continued support of a cryptoasset presents a risk to us or our users, we aim to take prompt action to discontinue the trading and custody of the cryptoasset. Users that traded a supported cryptoasset on our platform and suffered trading losses could also seek to rescind a trade on our platform on the basis that eToro effected their transactions in violation of applicable law, which could subject us to significant liability. We may also be required to cease facilitating transactions in the supported cryptoasset other than via our licensed subsidiaries, which could negatively impact our business, operating results, and financial condition. Furthermore, if we remove any cryptoassets from trading on our platform, our decision may be unpopular with users and may reduce our ability to attract and retain users, especially if such cryptoassets remain traded on unregulated exchanges, which includes many of our competitors. Regardless of our conclusions or actions, we could be subject to legal or regulatory action in the event a foreign regulatory authority or a court were to determine that a supported cryptoasset currently or previously offered, sold, or traded on our platform is a “security” under applicable laws. In addition, such policies and procedures may not be sufficient to mitigate and address all risks.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determination by a regulatory authority or court that a cryptoasset that we currently support for trading or custody on our platform constitutes a security in a particular jurisdiction may also result in us determining that it is advisable to remove that cryptoasset from our platform, as well as assets that have similar characteristics to the asset that was determined to be a security, or we may otherwise be required to reorganize our business. In addition, we could be subject to judicial or administrative sanctions or other regulatory enforcement action for failing to offer or sell a cryptoasset currently or previously supported for trading on our platform, in compliance with the registration requirements, or for acting as a broker, dealer, or national securities exchange without appropriate registration.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risks related to our custody of users’ cryptoassets.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hold cryptoassets of users of our platform in segregated omnibus digital wallets on behalf of those users, in accordance with applicable regulatory requirements and industry best practices, including standards governing “hot” and “cold” storage of cryptoassets. When a user buys any cryptoassets on our platform, the cryptoassets are held by us as custodian on the user’s behalf in segregated omnibus wallets until we receive further instructions from the user to sell the cryptoassets (by placing an order on the platform) or to transfer them to the users’ non-eToro hosted wallet. As such, our users have ownership rights in respect of their cryptoassets held in the eToro segregated omnibus digital wallets, and our applicable user agreement provides that the user owns the cryptoassets and that we hold the cryptoassets solely on the user’s behalf. We have obtained legal analyses in all jurisdictions in which we are licensed to provide crypto-custody services which confirm that upon the insolvency of the applicable eToro entity (the regulated entity or the custodian) such cryptoassets do not constitute property of the estate of the eToro entity and therefore, are not available for distribution to such entity’s general creditors. However, such legal conclusions remain subject to risks and uncertainties because, to our knowledge, there are few authoritative legal precedents with respect to the treatment of cryptoassets in an insolvency scenario. In addition, as more jurisdictions implement requirements with respect to how crypto-custody should be provided, we may be required to incur costs to change our custody offering not limited to the operational and technological aspects, particularly where different approaches are taken across different jurisdictions.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systems we use to store and transfer cryptoassets which we hold for our own account or hold on behalf of our users may be subject to certain security vulnerabilities, which may result in the loss of some or all of the cryptoassets, of potentially significant value, and may expose us to the risk of loss.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safeguard users’ cryptoassets using robust standards applicable to our “hot” and “cold” wallet and storage systems, as well as our financial management systems related to such custodial functions. We hold all of our users’ cryptoassets separately from our own cryptoassets in segregated digital wallets in accordance with applicable regulatory requirements and industry best practices, including standards governing “hot” and “cold” storage of cryptoassets. Cryptoassets held by us as custodian on behalf of our users are stored in segregated omnibus digital wallets.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security technology is designed to prevent, detect and mitigate inappropriate access to our systems, by internal or external threats. However, methods used to obtain unauthorized access, disable or degrade service or sabotage systems are dynamic and evolving and may be difficult to anticipate or detect for long periods of time. Security breaches, computer malware and computer hacking attacks have been a prevalent concern in relation to cryptoassets. We believe that the cryptoassets held in our systems will be an appealing target to hackers or malware distributors seeking to destroy, damage or steal our assets and will only become more appealing as our assets grow. To the extent that we are unable to identify and mitigate or prevent new security threats or otherwise adapt to technological changes in the cryptoasset industry, our cryptoassets may be subject to theft, loss, destruction or other attack. Any loss of users’ cash or cryptoassets could result in a substantial business disruption, adverse reputational impact, inability to compete with our competitors and regulatory investigations, inquiries or actions. Any security incident resulting in a compromise of users’ assets could result in substantial costs to us and require us to notify impacted individuals, and in some cases regulators, of a possible or actual incident, expose us to regulatory enforcement actions, including substantial fines, limit our ability to provide products and services, subject us to litigation, significant financial losses, damage our reputation, and adversely affect our business, financial condition, cash flows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theft, loss or destruction of a private key required to access our cryptoassets may be irreversible. If we are unable to access our private keys or if we experience a hack or other data loss relating to the cryptoassets we hold for our own account, or hold on behalf of users, we and/or our users may be unable to access the cryptoassets and it could harm user trust in us and our products and cause regulatory scrutiny.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own, transfer and use a cryptoasset on an underlying blockchain network, a person must have a private and public key pair associated with a network address, commonly referred to as a “wallet.” Cryptoassets are generally controllable only by the possessor of the unique private key relating to the digital wallet in which the cryptoassets are held. To the extent that any of the private keys or other necessary credentials relating to our wallets containing cryptoassets held for our own account or for our users is lost, destroyed, or otherwise compromised or unavailable, and no backup of the private key is accessible, we will be unable to access the cryptoassets held in the related wallet. Further, cryptoassets and blockchain technologies have been, and may in the future be, subject to security breaches, hacking, or other malicious activities. Any loss of private keys or other credentials relating to, or hack or other compromise of, digital wallets used to store our users’ cryptoassets could adversely affect our users’ ability to access or sell their cryptoassets, require us to reimburse our users for their losses, and subject us to significant financial losses in addition to losing user trust in us and our products and services. As such, any loss of private keys or other digital wallet credentials due to a hack, employee or service provider misconduct or error, or other compromise by third parties could negatively impact our brand and reputation, result in significant losses, and adversely impact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in cryptoassets are irrevocable and stolen or incorrectly transferred cryptoassets may be irretrievable. As a result, any incorrectly executed cryptoasset transactions may result in the loss of some or all of our users’ assets and may expose us to the risk of loss.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deposit cryptoassets held by a user into our cryptoasset wallet, a user must “sign” a transaction that consists of the private key of the wallet from where the user is transferring cryptoassets, the public key of a wallet that we control which we provide to the user, and broadcast the deposit transaction onto the underlying blockchain network. Similarly, to withdraw cryptoassets from our cryptoasset wallet, the user must provide us with the public key of the wallet that the cryptoassets are to be transferred to, and we would be required to “sign” a transaction authorizing the transfer. A number of errors can occur in the process of depositing or withdrawing cryptoassets into or from our cryptoasset wallet, such as typographical errors, mistakes, or the failure to include the information required by the blockchain network. In addition, each wallet address is only compatible with the underlying blockchain network on which it is created. For instance, if ether or other cryptoassets is sent to a Bitcoin wallet address, all of the user’s ether will be permanently and irretrievably lost with no means of recovery. We may encounter such incidents which could result in user disputes, damage to our brand and reputation, legal claims against us, and financial liabilities, any of which could adversely affect our business.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allowing users to deposit and withdraw cryptoassets into and from our wallets could expose us to heightened risks related to potential violations of trade sanctions, including OFAC regulations and AML, CTF, Travel Rule and anti-bribery and corruption laws if individuals specifically exploit this feature to conduct fraudulent transfers, illegal activity or money laundering. Many types of cryptoassets have characteristics that make cryptoassets susceptible to use in illegal activity, such as the speed with which digital currency transactions can be conducted, the ability to conduct transactions without the involvement of regulated intermediaries, the ability to engage in transactions across multiple jurisdictions, the irreversible nature of certain cryptoasset transactions, and encryption technology that anonymizes these transactions. Regulatory authorities, law enforcement agencies and financial regulators have taken and continue to take legal action against persons and entities alleged to be engaged in fraudulent schemes or other illicit activity involving cryptoasset. Such fraudulent transactions may be difficult or impossible for us to detect and void such transactions in certain circumstances. The use of our platform for illegal or improper purposes could subject us to claims,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cash flows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staking services subject us to additional risks, including risks related to slashing penalties, regulatory classification of staking rewards, and changes in blockchain protocol reward structures.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offer staking services for certain cryptoassets in the United States and in other jurisdictions. Through our staking services, users may delegate their cryptoassets to validators on applicable blockchain networks in exchange for staking rewards. Staking exposes us and our users to a number of risks, including: the risk that staked cryptoassets may be subject to “slashing” penalties imposed by the applicable protocol if a validator acts improperly or fails to satisfy its obligations, which could result in the partial or complete loss of staked cryptoassets; the risk that changes in applicable blockchain protocols may reduce, eliminate or otherwise alter the staking rewards available to users; and the risk that staked cryptoassets may be illiquid during required bonding or unbonding periods, during which users may be unable to sell or transfer their assets and may be exposed to significant price volatility.</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Furthermore, while the SEC has recently issued certain guidance with respect to staking services, there remains regulatory uncertainty regarding the status of staking activities under the U.S. federal securities laws, state law, and non-U.S. law. In particular, staking activities, including our staking program, could be deemed to involve the offer and sale of securities and other regulated financial instruments to our users participating in the staking program. Various regulators have taken the position that certain staking programs are unlawful if not conducted as a compliant securities offering and other regulators may adopt similar positions with respect to their jurisdictions’ securities laws. In addition, we could determine in the future to terminate our staking program with respect to particular cryptoassets or in a particular jurisdiction if there is a heightened risk of being deemed to be a securities transaction. While we have implemented policies and procedures designed to help ensure that our staking feature remains compliant with existing and new laws and regulations, and while certain regulators have previously stated that certain staking activities do not involve the offer and sale of securities, such statements are not binding on those regulators, potential private plaintiffs, or state regulators, and there can be no assurance that applicable regulatory authorities will agree with our assessment of applicable securities laws, or that we and our employees, contractors, and agents will not violate or otherwise fail to comply with such existing laws and regulations now or in the future. To the extent that we or our employees, contractors, or agents are deemed or alleged to have violated or failed to comply with any laws or regulations applicable to staking, including related interpretations, orders, determinations, directives, or guidance, we or such persons could be subject to a litany of civil, criminal, and administrative fines, penalties, orders, and actions, including being required to modify, suspend, or terminate the offering of our staking programs. Any of the foregoing would materially adversely affect our business, operating results, and financial condition.</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the emergence or growth of other cryptoassets or methods of investing in such cryptoassets could have a negative impact on the price of such cryptoassets and adversely affect our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Bitcoin was the first cryptoasset to gain global adoption and critical mass, and as a result, it has a “first to market” advantage over other cryptoassets. Despite this first to market advantage, there are thousands of alternative cryptoassets, with a large and fast-growing total market-capitalization. In addition, the approval of spot Bitcoin and Ethereum exchange-traded products (“ETPs”) in the United States and other jurisdictions has introduced a significant new investment vehicle for retail and institutional investors seeking cryptoasset exposure without directly transacting on cryptoasset platforms such as ours. The growth of cryptoasset ETPs may reduce demand for direct cryptoasset trading on our platform and could divert potential users to traditional brokerage accounts where they can obtain cryptoasset exposure through familiar investment vehicles. Market and financial conditions and other conditions beyond our control, may also make it more attractive to invest in other financial vehicles, which could limit the market for, and reduce the liquidity of, cryptoassets held by us. Moreover, DeFi and noncustodial platforms, which may have low startup and entry costs, are growing in number and could compete with our cryptoasset platforms. If our users move to such platforms, our revenues may decline and our business, financial condition, cash flows and results of operations could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unfamiliarity and some negative publicity associated with cryptoasset platforms, existing and potential users may lose confidence in cryptoasset platforms such as ours.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Unlike securities or other traditional asset exchanges and financial services providers, cryptoasset platforms are relatively new and, in some cases, unregulated. Our cryptoasset services are regulated in certain jurisdictions and unrelated in others, and we are continuously monitoring the state of regulation in each jurisdiction in which we operate. We cannot guarantee that we will be able to comply with all new and existing regulations being implemented with respect to cryptoasset service providers. While many prominent cryptoasset platforms provide the public with significant information regarding their ownership structure, management teams, corporate practices and regulatory compliance, many cryptoasset platforms do not provide this information, which could result in users making uninformed investment decisions. As a result, the marketplace may lose confidence in cryptoasset platforms, including prominent platforms that handle a significant volume of cryptoasset trading. Any actual or perceived false trading in trading platforms, any other fraudulent or manipulative acts and practices, and any associated negative publicity, could adversely affect the value of cryptoassets and/or negatively affect the market perception of such cryptoassets and, by extension, other cryptoasset markets and platforms, including our platform.</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since the inception of the cryptoeconomy, numerous cryptoasset platforms have been sued, investigated, or shut down due to fraud, manipulative practices, business failure and security breaches. In many of these instances, users of these platforms were not compensated or made whole for their losses. Larger platforms like ours are more appealing targets for hackers and malware and may also be more likely to be the target of regulatory enforcement actions.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outcome and results of these and other enforcement actions against cryptoasset platforms may have a significant negative impact on the adoption and use of cryptoassets both globally and within the United States and could negatively impact the liquidity, volatility and value of such assets. In addition, there have been reports that a significant amount of cryptoasset trading volume on cryptoasset platforms is fabricated and false in nature. Such reports may indicate that the market for cryptoasset platform activities is significantly smaller than otherwise understood.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Negative perception, a lack of stability and standardized regulation in the cryptoeconomy, and the closure or temporary shutdown of cryptoasset platforms due to fraud, business failure, hackers or malware, or government mandated regulation, as well as any associated losses suffered by users, may reduce confidence in the cryptoeconomy and result in greater volatility of the prices of assets, including significant depreciation in their value. Any of these events could have a material adverse effect on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blockchain “fork” to any supported cryptoasset could adversely affect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blockchain protocols, including Bitcoin and Ethereum, are open source. Any user can download the software, modify it, and then propose that Bitcoin, Ethereum or other blockchain protocols users and miners adopt the modification. When a modification is introduced and a substantial majority of users and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cryptoasset lacking interchangeability with the other.</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guarantee that we will support any fork or provide the benefit of any forked cryptoasset to our users. However, we have in the past and may in the future continue to be subject to claims by disgruntled users arguing that they are entitled to receive certain forked or airdropped cryptoassets by virtue of cryptoassets that they hold with us. If any users succeed on a claim that they are entitled to receive the benefits of a forked or airdropped cryptoasset that we do not or is unable to support, we may be required to pay significant damages, fines or other fees to compensate users for their losses. A fork can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including services related to cloud computing services, data centers and cryptoasset custody solutions, and their failure to perform those functions could result in the interruption of our operations and systems and could result in significant costs and reputational damage to us and losses to our users.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third parties in connection with many aspects of our business, including parties that provide data center facilities, infrastructure, website functionality and access, AI models and tools, cryptoasset custody solutions, components, services including databases and data center facilities and cloud computing, outsourced user services, payment service providers, clearing systems, compliance support and product development functions, all of which are critical to our operations. When we outsource certain of our operations, we are required pursuant to regulation to perform enhanced due diligence of those third parties and must actively monitor and audit such outsourced functions, pursuant to applicable licenses and permissions.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of the inherent risk in our reliance on third parties to provide these services and to facilitate certain of our business activities, we face increased operational risks. We do not control the operation of any of these third parties, including the data center facilities and/or the technology we use. These third parties may be subject to financial, legal, regulatory, and labor issues, cybersecurity incidents, break-ins, computer viruses, denial-of-service attacks, sabotage, acts of vandalism, privacy breaches, service terminations, disruptions, interruptions and other misconduct. Such third parties are also vulnerable to damage or interruption from human error, power loss, telecommunications failures, fires, floods, earthquakes, hurricanes, tornadoes, pandemics and similar events. Further, such third parties could either be acquired or become insolvent, and such events could end our agreements and we would be required to find other providers for such services and we may be unable to do so on terms favorable to us, or at all. The failure of our third-party service providers to perform their obligations and provide the products and services we obtain from them in a timely manner for any reason could adversely affect our operations and profitability.</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services, impose additional costs or requirements on us or our users, or give preferential treatment to competitors. Further, these third parties may be acquired, which may prompt a review of our agreements with such third parties. There can be no assurance that third parties that provide services to us or to our users on our behalf will continue to do so on acceptable terms, or at all, or if they will be able to expand their services to meet our needs in the future. If any third parties do not adequately or appropriately provide their services or perform their responsibilities to us or to our users on our behalf, we may be unable to procure alternatives in a timely and efficient manner and on acceptable terms, or in the case of specialized or single source providers, at all. We may be subject to business disruptions, losses or costs to remediate any of the deficiencies, user dissatisfaction, reputational damage, legal or regulatory proceedings, or other adverse consequences which could harm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platform may be exploited to facilitate illegal activity, including fraud, money laundering, terrorist financing, proliferation financing, tax evasion and scams. We or our partners may be specifically targeted by individuals seeking to conduct fraudulent transfers, and it may be difficult or impossible for us to detect and avoid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prosecuted, or otherwise held secondarily liable for aiding or facilitating such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while fiat currencies can be used to facilitate illegal activities, cryptoassets are relatively new and, in many jurisdictions, may be lightly regulated or largely unregulated. Many types of cryptoassets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cryptoasset transactions, and encryption technology that anonymizes these transactions, that make cryptoassets susceptible to use in illegal activity. U.S. federal and state and foreign regulatory authorities and law enforcement agencies, such as the Department of Justice, the SEC, the CFTC, the Federal Trade Commission, or the Internal Revenue Service (“IRS”), and various state securities and financial regulators have taken and continue to take legal action against persons and entities alleged to be engaged in fraudulent schemes or other illicit activity involving cryptoassets. We also support cryptoassets that incorporate privacy-enhancing features, and may from time to time support additional cryptoassets with similar functionalities. These privacy-enhancing cryptoassets obscure the identities of sender and receiver, and may prevent law enforcement officials from tracing the source of funds on the blockchain. Facilitating transactions in these cryptoassets may cause us to be at increased risk of liability arising out of AML and economic sanctions laws and regulations.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believe that our risk management and compliance framework is designed to detect significant illicit activities conducted by our potential or existing users, we cannot ensure that we will be able to detect all illegal activity on our platform. While to date, illegal or fraudulent activity has not had a material impact on our business, future illegal activity, the appearance of illegal activity or government inquiries into the potential for illegal activity may have an adverse impact on our business, financial condition, cash flows and results of operations. Further, any efforts to identify and remedy such illegal or fraudulent activity may be costly, time-consuming and ultimately may not be successful. If any of our users use our platform to further such illegal activities, our business and reputation could be materially and adversely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major mobile operating systems and third-party platforms for the distribution of certain products. If Google Play, the Apple App Store, or other platforms prevent users from downloading our apps, our ability to grow may be adversely affected.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upon third-party platforms for the distribution of certain products and services. The eToro which includes eToro Wallet app is provided as free applications through both the Google Play Store and the Apple App Store, which are global application distribution platforms and the main distribution channels for our apps. Although accessible on traditional websites, the vast majority of our users’ activities occurs on our apps, and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certain of the assets on our platform, including cryptoasset, and require us to remove or delist these assets, which could cause reputational harm and adversely affect our business.</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were to violate, or an operating system provider or application store believes that we have violated, its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financial condition, cash flows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Intellectual Property and Data Privacy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cyberattacks or security breaches of our platform or data, or those impacting our users or third-party service providers.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that are critical to our business. We own and manage some of these systems but also rely on third parties for a range of systems and related products and services. Our business also involves the collection, storage, processing and transmission of confidential information, user, employee, service provider and other personal data, as well as information required to access user assets. Our systems and those of our users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systems and data. For example, electronic transmissions of data can be subject to attack, interception, loss or corruption, whether by third-party actors or internal actors such as by our employees, independent contractors or consultants. In addition, computer viruses and malware can be distributed and spread rapidly over the internet and could infiltrate our systems or those of our users or third-party service providers. Infiltration of our systems or those of our users or third-party service providers, or unauthorized use or access of our systems by employees or insiders,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 There can be no assurance that security measures we have adopted will provide appropriate security or prevent breaches or attacks. Further, any additional systems and processes we implement, or security enhancements we may, could also result in new security vulnerabilities or weaknesses that could be exploited by third parties and may be costly to replace and difficult to implement in a short period of time. We have experienced from time to time, and may experience in the future, breaches of our security measures. For example, we have experienced credential stuffing attacks that have compromised access to certain user records, including email address and password and also a BIN enumeration attack which did not result in any unauthorized use of our cards. In addition, our products and services may themselves be targets of cyberattacks that attempt to sabotage or otherwise disable them, and the defensive and preventative measures we take may ultimately not be able to effectively detect, prevent, or protect against or otherwise mitigate losses from all cyberattacks.</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Cybersecurity attacks and other malicious internet-based activity continue to increase and financial technology platform providers have been and are expected to continue to be targeted. Our computer system, the networks we use, and the network of third parties with whom we interact, are potentially vulnerable to physical or electronic computer break-ins, viruses, malware, phishing and similar disruptive problems or security breaches, whether due to human error or otherwise, and, as a result, someone may be able to obtain unauthorized access to sensitive information, including personal data, on our systems or systems used by third parties with whom we interact. In addition to traditional computer “hackers,” sophisticated nation-state and nation-state-supported actors may engage in attacks (including advanced persistent threat intrusions) and denial-of-service attacks.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As a company with headquarters in Israel, we are subject to increased risk of geopolitically motivated attacks. In addition, the introduction of malicious code (such as viruses and worms), employee theft or misuse or inadequate facility security could result in threats to our computer system. Further, advances in technology, including new discoveries in the field of cryptography, generative AI, or other developments. For example, threat actors may utilize AI to generate sophisticated phishing campaigns, deepfakes, or voice cloning to bypass our biometric or identity verification defenses, which may result in a compromise or breach of the technology we use to protect user data. Any security measures we implement, including employee training (including phishing prevention training) or other technical safeguards, may not be sufficient to prevent, mitigate and detect improper access to confidential, proprietary or sensitive data, including personal data.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color w:val="auto"/>
        </w:rPr>
        <w:t>As a result, any actual or perceived security breach of us or our third-party partners may:</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theft or irretrievable loss of our or our users’ securities, cryptoassets, currencies and commodities;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significant remediation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systems or services being unavailable and interrupt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improper disclosure of data and violations of applicable privacy and other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regulatory scrutiny, investigations, fines, penalties and other legal, regulatory and financial exposure;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us to notify users and regulators about the incident, depending on the nature of the information compromised;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users’ confidence in, or use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management from the operation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compensation, contractual penalties or termination of contracts or security certifications with respect to us, to our users or third parties as a result of losses to them or claims by them;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business and operating results.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built our reputation on the premise that our platform offers users a secure way to purchase, store and transact in securities, cryptoassets, currencies and commodities, as an underlying asset or derivative, depending on the asset class and on the user’s location. To maintain this security, we employ a multi-layered custody architecture. This includes the use of ‘cold storage’ (offline wallets) for a significant portion of cryptoassets to help protect against certain online attacks, as well as Multi-Party Computation (MPC) technology to ensure that the risk that a single private key exists in one location that could be compromised is reduced.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our current insurance policies do not protect us against all such losses and liabilities arising from security breaches, cyberattacks, and other types of unlawful activity, or any resulting disruptions from such events. In the event of an outage, it could take an extended period of time to restore full functionality to our technology or other operating systems, which could affect our ability to process and settle user transactions. Outages and disruptions to our platform, including any caused by cyberattacks, may harm our reputation and our business, financial condition, cash flows and results of operations. Certain threat actors may be supported by significant financial and technological resources, making them even more sophisticated and difficult to detect. Any such events, particularly if they result in a loss of confidence in our services, could have a material adverse effect on our business, financial condition, cash flows and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any actual or perceived breach or cybersecurity attack directed at financial institutions, trading exchanges or similar companies, whether or not we are directly impacted, could lead to a general loss of user confidence in the security of internet transactions or confidential personal information or in the use of technology to conduct financial transactions, which could negatively impact us, including the market perception of the effectiveness of our security measures and technology infrastructure. As a result, our costs and the resources we devote to protecting against these advanced threats and their consequences may continue to increase over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the operation of our systems relies on our third-party service providers, through either a connection to, or an integration with, such third parties’ systems, the risk of cybersecurity attacks and loss, corruption, or unauthorized access to or publication of our information or the confidential information and personal data of users and employees may increase. Third-party risks may include insufficient security measures, data location uncertainty, and the possibility of storing data in jurisdictions where laws or security measures may be inadequate. Our ability to monitor our third-party service providers’ data security practices may be limited. Although we generally have agreements relating to cybersecurity and data privacy in place with our third-party service providers, such third-party service providers may not comply with such cybersecurity and data security requirements. In addition, we cannot guarantee that such agreements will prevent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third-party service providers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solutions provided by our third-party service providers.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because we accept debit and credit cards for payment we are subject to the Payment Card Industry Data Security Standard (the “PCI-DSS”) issued by the Payment Card Industry Security Standards Council. The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 financial condition, cash flows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service interruptions, including disruptions in any of the blockchain networks we support, could result in regulatory scrutiny, enforcement and fines, a loss of users or funds and adversely impact our brand and reputation and our business, financial condition, cash flows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technology to conduct our business and allow our users to make financial transactions on our platform. Our reputation and ability to attract and retain users and grow our business depends, in part, on our ability to operate our service at high levels of reliability, scalability and performance, including the ability to process and monitor a large number of transactions that occur at high volume and frequencies across multiple systems. For example, users that seek to trade cryptoassets on our platform are dependent on our ability to access the blockchain networks underlying the supported cryptoassets, including a network of computers, miners, or validators, and their continued operations, any or all of which may be impacted by service interruptions. To maintain this security, we employ a multi-layered custody architecture, however, these measures may not prevent all cyberattacks, security breaches, operational failures, human error or other events, and any such occurrence could result in loss of assets, unauthorized access, or service disruptions.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general, our systems, as well as the systems of certain cryptoasset and blockchain networks and our providers’ systems, are vulnerable to disruptions and have experienced on multiple occasions, and may experience in the future, service interruptions for various reasons, including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In addition, extraordinary user trading volumes or site usage could cause our computer systems to operate at an unacceptably slow speed or even fail. Such instances would result in, among other things, unanticipated disruptions resulting in an inability of users to access their accounts and trades, slower response times and delays in our users’ trade execution and processing, failed settlement of trades, incomplete or inaccurate accounting, recording or processing of trades, unauthorized trades, loss of user information, increased demand on limited user support resources, user claims, complaints with regulatory organizations, lawsuits, or enforcement actions. Frequent or persistent interruptions to our services could cause current or potential users or partners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users, such users could seek significant compensation or contractual penalties from us for their losses, and those claims, even if unsuccessful, would likely be time-consuming and costly for us to address. Problems with the reliability or security of our systems would harm our reputation, and such harm to our reputation and the cost of remedying these problems could negatively affect our business, financial condition, cash flows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we are a regulated financial institution in certain jurisdictions, frequent or persistent interruptions could also lead to regulatory scrutiny, significant fines and penalties, mandatory and costly changes to our business practices, and ultimately could cause us to lose existing licenses or banking relationships that we need to operate or prevent or delay us from obtaining additional licenses that may be required for our business. Additionally, some of our systems, including the systems of companies we have acquired, or the systems of our third-party service providers are not fully redundant, and our or their business continuity and disaster recovery planning may not be sufficient for all possible outcomes or events, and may not adequately protect us from a serious disaster or service interruption. Any of the aforementioned risks could be significantly detrimental to our business, cause us to lose revenue and materially and adversely affect our business, financial condition, cash flows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could adversely impact our business, financial condition, cash flow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obtain, maintain, protect, defend and enforce our technology and intellectual property rights, including our trademarks, patents and trade secrets. We believe that our trademarks, patents, trade secrets and other intellectual property rights are critical to our success.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and expect to continue to rely on, a combination of confidentiality and license agreements with our employees, consultants, and third parties with whom we have relationships, as well as trademark, trade dress, domain name, copyright, trade secret and patent protections, to protect our brand and other intellectual property rights. Such means may afford only limited protection of our intellectual property and may not (i) prevent others from independently developing products or services similar to, or duplicative of, ours, (ii) prevent our competitors from gaining access to our proprietary information, know-how technologies and processes or (iii) permit us to gain or maintain a competitive advantage. Various events outside of our control may pose a threat to our intellectual property rights, as well as to our products and services. Effective protection of intellectual property rights is expensive and difficult to maintain, both in terms of application and maintenance costs, as well as the costs of defending and enforcing those rights. The efforts we have taken to protect our intellectual property rights may not be sufficient or effective, intellectual property laws may change and certain agreements may not be fully enforceable, which could restrict our ability to protect our intellectual property rights. Our intellectual property rights may be infringed, misappropriated, or challenged, which could result in them being narrowed in scope or declared invalid or unenforceable. Unauthorized use of our intellectual property, including our trademarks, or a violation of our intellectual property rights by third parties may damage our brand and our reputation.</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products and services from the products and services of our competitors. We have registered, among other trademarks, the term “eToro” and the bull logo in the United States, Israel and certain other jurisdictions. We believe that the protection of our trademark rights, in particular, is an important factor in product recognition, protecting our brand and maintaining goodwill. We may be unable to adequately obtain trademark protection for our technologies, logos, slogans and brands, such that we may not be able to distinguish our products and services from those of our competitors. Further, we may not timely or successfully register our trademarks. Even if we do obtain registrations for our trademarks, we may not have adequate resources to enforce our trademarks against competitors or other third parties, and any such enforcement actions against third parties may not be successful. If we do not adequately protect our rights in our trademarks from infringement and unauthorized use, any goodwill that we have developed in those trademarks could be lost or impaired, which could harm our brand and our business. Competitors may adopt trade or service names similar to ours, thereby harming our ability to build brand identity and possibly leading to user confusion. In addition, there could be potential trade name or trademark infringement claims brought by owners of other trademarks that are similar to our trademarks. Furthermore, our trademarks may be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governmental authorities or administrative bodies may be necessary to enforce our trademark rights and to determine the validity and scope of the trademark rights of others. Our efforts to obtain, maintain, protect, defend and enforce our trademarks may be ineffective, may impact the public perception of our brand and could result in substantial costs and diversion of resources, which could adversely affect our business, financial condition, and results of operations. Further, if our proprietary rights are challenged in connection with such enforcement efforts, it could result in payment by us of monetary damages or injunctive relief against us that prevents us from using certain trademarks and trade names, all of which could adversely impact our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own certain patents, and have applied for patent protection, relating to certain proprietary aspects of our products and technologies. We cannot guarantee that any of our patent applications will issue, and the patents we own could be challenged, invalidated, or circumvented by others and may not be of sufficient scope or strength to provide us with any meaningful protection or commercial advantage. Some patent applications in the United States are maintained in secrecy for a period of time after they are filed, and since publication of discoveries in the scientific or patent literature tends to lag behind actual discoveries by several months, we cannot be certain that we will be the first creator of inventions covered by any patent applications we make or that we will be the first to file patent applications covering such inventions. In addition, we make business decisions about when to seek patent protection for a particular technology and when to rely upon trade secret protection, and the approach we select may ultimately prove to be inadequate. Moreover, we cannot assure you that competitors will not infringe our patents, or that we will have adequate resources to enforce our patents.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our currently issued patents and any patents that may be issued in the future with respect to pending or future patent applications may not provide sufficiently broad protection or they may not prove to be enforceable in actions against alleged infringers and our patents may be challenged, invalidated, circumvented or rendered unenforceable. If we fail to obtain issuance of patents, or our patent claims or other intellectual property rights are rendered invalid or unenforceable, or narrowed in scope, the patent protections afforded our products and processes could be impaired. Such impairment could harm our ability to market our products, negatively affect our competitive position and harm our business and operating results, including by requiring us to re-design our affected products. Moreover, our issued patents and patent applications may cover only certain aspects of our products and processes, and competitors and other third parties may be able to circumvent or design around our patents. Competitors may develop and obtain patent protection for more effective designs, processes or other technologies. There can be no assurance that third parties will not create new designs, processes or other technologies that achieve similar or better results without infringing upon patents we own. If these developments were to occur, it could have an adverse effect on our sales or market position.</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own copyrights in our software but have chosen not to register them. Because we have chosen not to register our copyrights, the remedies and damages available to us for unauthorized use of software under copyright laws may be limited. For example, in the United States copyrights must be registered before a copyright owner may bring a copyright infringement lawsuit in federal court. We primarily rely on trade secret protection to protect our proprietary software, information and technology. Despite our efforts to maintain our source code and certain other technologies as trade secrets, it may still be possible for unauthorized third parties to copy our technologies, and use information that we regard as proprietary to create products and services that compete with ours.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make business decisions about when to rely upon trade secret protection for a particular technology, and the approach we select may ultimately prove to be inadequate. Our reliance on unpatented proprietary information and technology, such as trade secrets and confidential information, depends in part on agreements we have in place with employees, contractors, consultants, advisors and third parties that place restrictions on the use and disclosure of this intellectual property. We also attempt to protect our proprietary information and technology by implementing administrative, technical and physical practices, including source code access controls, to secure our proprietary information. However, no assurance can be given that these agreements or practices will be effective in controlling access to, distribution, use, misuse, misappropriation, reverse engineering or disclosure of our intellectual property, proprietary information or technology. Our agreements with third parties, including former employees, may be insufficient or may be breached, or we may not enter into sufficient agreements with such individuals in the first instance, in either case potentially resulting in the misappropriation or unauthorized use or disclosure of our trade secrets and other intellectual property, including to our competitors, which could cause us to lose any competitive advantage resulting from this intellectual property.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The loss of trade secret protection could make it easier for third parties to compete with our products and services by copying functionality. Individuals not subject to invention assignment agreements may make adverse ownership claims to our current and future intellectual property. There can be no assurance that our intellectual property rights will be sufficient to protect against others offering products or services that are substantially similar to our and that compete with our business or attempting to copy aspects of our technology and use information that we consider proprietary.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Even if we are able to secure our intellectual property rights, we cannot be certain that such rights will provide us with competitive advantages or distinguish our services from those of our competitors or that our competitors will not independently develop similar technology, duplicate any of our technology, or design around our patents. Moreover, if any third-party copies or imitates our products in a manner that affects user or consumer perception of the quality of our products, our reputation and sales could suffer whether or not these copies or imitations violate our intellectual property rights. Further, even if we successfully maintain our intellectual property rights, we may be unable to enforce those rights against third parties who may infringe our intellectual property rights or dilute our brands in the marketplace. While we generally seek to protect and enforce our intellectual property rights, monitoring for unauthorized use, infringement, misappropriation or other violations of our intellectual property rights can be expensive and time-consuming, and we will not be able to protect our intellectual property rights if we do not detect their unauthorized use. Accordingly, we may not be able to prevent third parties from infringing upon or misappropriating our intellectual property. Even if we do detect violations, we may not be effective in preventing unauthorized use of our intellectual property. In order to enforce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cash flows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obtain, maintain, protect, defend, and enforce our intellectual property rights throughout the world to the same extent as in the United States.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fail to maintain or be unable to obtain adequate protections for certain of our intellectual property rights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 Many companies have encountered significant problems in protecting and defending intellectual property rights in certain foreign jurisdictions. To the extent we expand our international activities, our exposure to unauthorized copying and use of intellectual property and proprietary information may increase. The legal systems of some countries, particularly developing countries, do not favor or may not be sufficiently robust for the meaningful enforcement of patents and other intellectual property rights. This could make it difficult for us to stop the infringement, misappropriation, or other violation of our intellectual property rights in all countries outside of the United States. Consequently, we may not be able to prevent third parties from copying our intellectual property in all jurisdictions in which we are regulated, serve users or intend to operate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claims that we violated certain third-party intellectual property rights, which, even where meritless, can be costly to defend and could adversely affect our business, financial condition, cash flows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past we have been subject to claims, and we expect that we may be subject to claims in the future, alleging that we are infringing, misappropriating or otherwise violating the intellectual property rights of a third party. In addition, third parties may involve us in intellectual property disputes as part of a business model or strategy to gain competitive advantage. Any claims or litigation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distract management from our business or impose other unfavorable terms. Our use of third-party intellectual property rights also may be subject to claims of infringement or misappropriation. The vendors who provide us with technology that we incorporate in our product offerings also could become subject to various infringement claims. Further, we cannot guarantee that our internally developed or acquired technologies and content do not or will not infringe, misappropriate or otherwise violate the intellectual property rights of others. As we face increasing competition and become increasingly high profile, the possibility of receiving a larger number of intellectual property claims against us grows. In addition, certain intellectual property rights holders have in the past, and various “non-practicing entities” may in the future, attempt to assert intellectual property claims against us or seek to monetize the intellectual property rights they own to extract value through licensing or other settlements.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recent years, there has been considerable patent, copyright, trademark, domain name, trade secret and other intellectual property development activity in the financial services industry. There has also been a corresponding increase in litigation based on allegations of infringement or other violations of intellectual property, including by or against large financial service companies. Furthermore, individuals and groups can purchase patents and other intellectual property assets for the purpose of making claims of infringement to extract settlements from companies like us. We expect that the occurrence of infringement claims is likely to grow as the market for financial services technology grows and matures.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shares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reputation, business, financial condition, cash flow and results of operations. Further, these risks may be heightened in connection with ongoing global conflicts such as the Russian/Ukrainian war or conflict in the Middle East. These attacks may occur on our systems and networks or those of our third-party service providers or partners. Certain types of cyberattacks could harm us even if our systems and networks remain undisturbed. Attacks may be designed to exploit operational vulnerabilities or other weaknesses in our processes or procedures, to deceive employees and service providers into releasing control of our systems or networks, or to introduce computer viruses and malware into our systems or networks with the intent to steal confidential or proprietary data. Additionally, certain threats are designed to remain dormant or undetectable until launched against a target, and we may not be able to implement adequate preventative measures.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because patent applications can take years to issue and are often afforded confidentiality for some period of time, there may currently be pending applications, unknown to us, that later result in issued patents that could cover one or more of our services. Moreover,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Because of the substantial amount of discovery required in connection with patent and other intellectual property rights litigation, there is a risk that the discovery process could compromise our confidential information, which may be damaging to our brand and business.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users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courts and intellectual property offices in the jurisdictions in which we may seek to protect our intellectual property rights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as part of our technology solution, which may subject us to obligations to publicly disclose our proprietary source code, or may expose us to security vulnerabilities or to third-party copyright-related claims.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Part of our platform and technology incorporates open source software (“OSS”) in certain offerings, and we anticipate continuing to incorporate OSS in our business in the future. Certain OSS licenses may give rise to requirements to disclose or license our proprietary source code or make available any derivative works or modifications of the OSS on unfavorable terms or at no cost, and we may be subject to such terms if we combine, link or otherwise integrate our proprietary software with OSS in certain ways. The terms of many OSS licenses to which we are subject have not been interpreted by U.S. or foreign courts, and there is a risk that some source software licenses could be construed in a manner that imposes unanticipated conditions or restrictions on our ability to provide or distribute our products or services. While we are building processes to monitor our use of OSS to mitigate these risks, there is no assurance that such efforts will be sufficient to prevent instances where OSS is incorporated without a complete review. As such, we cannot always be certain that we use OSS in a manner that is consistent with the terms of the applicable OSS license.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the past we have been subject to claims, and we expect that we may be subject to claims in the future, alleging that we have failed to comply with the terms of certain OSS licenses. If we were found to be non-compliant with any OSS license terms, third parties could claim ownership of, or demand release of, the OSS or derivative works that we developed using such software, which could include our proprietary source code, or could otherwise seek to enforce the terms of the applicable OSS license, which could subject us to certain requirements, including requirements that we offer our software that incorporates or links to the OSS at a reduced cost or for free, or that we make available the proprietary source code for such software, which we consider to be a trade secret, to the general public. While in the past we have remediated alleged non-compliance, any such future claim could result in costly litigation and could require us to make our software source code freely available, purchase a costly license or cease offering the implicated products or services unless and until we can re-engineer them to avoid infringement, which may be a costly and time-consuming process. In any such event, we could be required to seek licenses from third parties and pay royalties in order to continue using the OSS necessary to operate our business or we could be required to discontinue use of our services and other software in the event re-engineering cannot be accomplished on a timely basis. Any of the foregoing could require us to devote additional research and development resources to re-engineer our services, could result in user dissatisfaction, could allow our competitors to create similar platforms with lower development effort and time and may adversely affect our business, financial condition, cash flows and results of operations. Moreover,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use of certain OSS can lead to greater risks than use of third-party commercial software, as some OSS projects may contain known or unknown vulnerabilities, which, if unaddressed, could affect the performance and security of our products, and OSS licensors generally do not provide warranties, or controls on the origin of software, indemnification or other contractual protections regarding infringement claims or the quality of the code. There is typically no support available for OSS, and we cannot ensure that the authors of such OSS will implement or push updates to address security risks or will not abandon further development and maintenance. Many of the risks associated with the use of OSS, such as the lack of warranties or assurances of title or performance, cannot be eliminated, and could, if not properly addressed, negatively affect our business. To the extent that our products and services depend upon the successful and secure operation of the OSS we use, any undetected errors or defects in this OSS could prevent the deployment or impair the functionality of our software, delay the introduction of new technological capabilities, result in a failure of our technologies and/or injure our reputation. For example, undetected errors or defects in open-source software could render it vulnerable to breaches or security attacks and make our systems more vulnerable to data breaches or security attacks. In addition, the public availability of such software may make it easier for others to compromise our platform. Any of these risks could be difficult to eliminate or manage and, if not addressed, could have an adverse effect on our business, financial condition and results of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ongoing royalty payments, settlements or licensing fees and the licensor may in some circumstances have the right to terminate the license. Termination of any of these agreements by the applicable licensor would prevent our use of the licensed intellectual property, and could prevent us from selling our products and services or inhibit our ability to commercialize future products and services. Our business could suffer if any licensor under any current or future license terminates such agreement, if the applicable licensor fails to abide by the terms of such license, if the licensed intellectual property rights were found to be invalid or unenforceable, or if we were unable to enter into necessary licenses on commercially acceptable terms.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for which we will need a license in order to engage in our business. However, such licenses may not be available on commercially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their intellectual property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cash flows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incorporating AI technologies into some of our products and processes. These technologies may present business, compliance, and reputational risks.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use machine learning and AI, both proprietary and third-party technologies, to improve our products and processes across our operations, including to increase the efficiency of product development and engineering workflows, user support services, marketing activities, business intelligence and analytics, fraud detection systems, and trading and investment decision support. Further, we use AI in connection with our Smart Portfolios and other interactions we have with our users. Our AI-powered features include an AI-based investment assistant designed to provide investment insights and decision support to users.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also developing a marketplace and public application programming interface (API) ecosystem that would enable third-party developers and users to build, share, and deploy various applications including automated trading strategies and analytical tools on our platform. Our AI-powered features, including our AI investment assistant and any automated trading tools made available through our planned marketplace and API ecosystem, may generate investment insights, trade suggestions, or portfolio recommendations that users rely upon in making investment decisions. If such outputs do not appropriately reflect a user’s risk tolerance, financial situation, or investment objectives, we may face claims of providing unsuitable investment recommendations, allegations of defective product design, or regulatory scrutiny regarding our compliance with applicable conduct of business obligations. Various regulatory framework to which we are subject may require us to implement additional safeguards, explainability requirements, and human oversight mechanisms for AI-driven features that are used in connection with investment services. In addition, third-party applications built on our public APIs could cause user losses, operate in ways inconsistent with applicable regulations, or create systemic risks through correlated automated trading behavior on our platform, and we may face liability or reputational harm in connection with such third-party applications even though we do not control their design or operation. See “Business” herein. Our research and development of such technology remains ongoing, and may be costly and yield inefficient results.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the same time, use of AI has recently become the source of significant media attention and political debate. Content generated by AI systems may be offensive, illegal, or otherwise harmful. Further, such content may appear correct but is factually inaccurate, misleading or otherwise flawed, or that results in unintended biases and discriminatory outcomes, which could negatively impact our users, harm our reputation and business, and expose us to liability. Ineffective or inadequate AI development or deployment practices by us or others could result in incidents that impair the acceptance of AI solutions or cause harm to individuals, users, or society, or result in our products and services not working as intended. Human review of certain outputs may be required. Our implementation of AI systems could result in legal liability, regulatory action, brand, reputational, or competitive harm, or other adverse impacts. Moreover, laws, regulations, and industry standards relating to AI are rapidly evolving across the jurisdictions in which we operate and may restrict or impose significant costs on our ability to develop or deploy AI technologies in our products, services, or internal processes. The EU AI Act, which entered into force on August 1, 2024, establishes a risk-based classification framework with phased compliance obligations, including requirements applicable to AI systems used in financial services that become effective in August 2026, with penalties for non-compliance of up to €35 million or 7% of worldwide annual turnover. In the United States, a developing patchwork of federal executive actions and state legislation addressing AI-driven decision-making and algorithmic transparency could require us to modify our practices or increase compliance costs. In the United Kingdom, the FCA’s Consumer Duty framework and evolving AI guidance may impose additional obligations on AI-powered features we offer to U.K. customers. Other jurisdictions in which we operate are developing their own AI regulatory frameworks. The cost of complying with these overlapping and potentially inconsistent requirements across jurisdictions could be significant and could adversely affect our business, financial condition, cash flows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license AI technologies from third parties that use models trained on data that could potentially violate intellectual property, privacy, or other third party rights or violate law. These AI technologies may also produce results or generate content that is inaccurate or misleading or that cannot be explained by data. In addition, certain third-party AI technologies that we utilize in our business may include OSS. These AI technologies may incorporate data from third-party sources, including our users’ information they input into the AI tools, which may expose us to risks associated with data rights and protection. See “—</w:t>
      </w:r>
      <w:r>
        <w:rPr>
          <w:rFonts w:ascii="Times New Roman" w:cs="Times New Roman" w:eastAsia="Times New Roman" w:hAnsi="Times New Roman"/>
          <w:sz w:val="18"/>
          <w:szCs w:val="18"/>
          <w:i w:val="1"/>
          <w:iCs w:val="1"/>
          <w:color w:val="auto"/>
        </w:rPr>
        <w:t>Risks Related to Third Parties</w:t>
      </w:r>
      <w:r>
        <w:rPr>
          <w:rFonts w:ascii="Times New Roman" w:cs="Times New Roman" w:eastAsia="Times New Roman" w:hAnsi="Times New Roman"/>
          <w:sz w:val="18"/>
          <w:szCs w:val="18"/>
          <w:color w:val="auto"/>
        </w:rPr>
        <w:t>” for additional risks related to our use of third-party vendors that may apply to the use of AI technologies licensed from third parties. If we are unable to maintain rights to use these AI technologies on commercially reasonable terms, we may be forced to acquire or develop alternate AI technologies, which may limit or delay our ability to provide competitive offerings and may increase our costs.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certain cases and in the future, we may rely on AI technology that is made available under open source licenses. Such technology may not be as reliable as proprietary technologies since open source licensors generally do not provide support, warranties, indemnification or other contractual protections regarding infringement claims or the quality of the technology. In addition, while the source code for open source AI technologies may be publicly available, the underlying weights and other components of that AI technology may be proprietary and not available for review or analysis. For additional risks related to the use of open-source AI technologies, see “—</w:t>
      </w:r>
      <w:r>
        <w:rPr>
          <w:rFonts w:ascii="Times New Roman" w:cs="Times New Roman" w:eastAsia="Times New Roman" w:hAnsi="Times New Roman"/>
          <w:sz w:val="18"/>
          <w:szCs w:val="18"/>
          <w:i w:val="1"/>
          <w:iCs w:val="1"/>
          <w:color w:val="auto"/>
        </w:rPr>
        <w:t>Risks Related to Technology, Intellectual Property and Data Privacy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AI and machine learning models used in either proprietary, third-party licensed or open source AI technologies require training on training datasets prior to production use, and in some instances, AI algorithms or training methodologies may be flawed. We use datasets comprised of proprietary data that we own, such as transaction data, as well as datasets comprised of third-party data, such as market or exchange data. Datasets may be overbroad, insufficient, or contain biased information. Training on incomplete, inadequate, inaccurate, biased, or otherwise poor quality data may result in models failing to provide acceptable results. Where we develop proprietary AI technologies, if third parties allege that our AI and machine learning models violate copyright law, or that our use of training data violates applicable law or third-party rights, we may be subject to legal liability or we may be forced to retrain our models on different datasets, which could result in unexpected costs, and adversely affect the availability of our offerings, their reliability, or otherwise make them less useful for their intended uses. The introduction of AI technologies, particularly generative AI, that have unintended consequences, unintended usage or customization by our users and partners, are contrary to our responsible AI principles, or are otherwise controversial because of their impact on human rights, privacy, employment, or other social, economic, or political issues, we may experience brand or reputational harm, adversely affecting our business and consolidated financial statements. including due to enhanced governmental or regulatory scrutiny, litigation, compliance issues, ethical concerns, confidentiality or security risks, as well as other factors that could adversely affect our reputation, business, financial condition, cash flows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and machine learning technology is rapidly evolving, and we cannot predict how future legislation and regulation will impact our ability to offer products or services that we develop which leverage AI and machine learning technology.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framework for AI and machine learning technology is rapidly evolving, and many federal, state, and foreign governments have introduced or are currently considering new laws and regulations relating to such technology. See “Business -State of Regulation”. As a result, implementation standards and enforcement practices are also likely to remain uncertain for the foreseeable future, and we cannot determine the impact future laws, regulations, or standards may have on our business, or how best to respond to them in future.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financial condition, cash flows and results of operations could be materially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it is possible that additional laws and regulations will be adopted in the United States and foreign jurisdictions, or that existing laws and regulations may be interpreted in ways that would affect the way in which we use AI and machine learning technology, as well as our ability to provide, improve or commercialize our offerings. We may need to expend resources to modify our products or services in certain jurisdictions to comply with new laws or regulations, or their interpretation. Further, the cost of compliance could be significant and may increase our operating expenses, which could adversely affect our business, financial condition, cash flows and results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our development efforts, including the introduction of new solutions or modifications to existing solutions, may result in new or enhanced governmental or regulatory scrutiny, litigation, ethical concerns, or other complications that could adversely affect our business, reputation, or financial results. Changes to existing regulations, their interpretation or implementation or new regulations could impede our use of AI and machine learning technology and also may increase the burden and cost of research and development in this area.</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spacing w:after="0" w:line="15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registered domain names that we use in, or are related to, our business, most importantly </w:t>
      </w:r>
      <w:r>
        <w:rPr>
          <w:rFonts w:ascii="Times New Roman" w:cs="Times New Roman" w:eastAsia="Times New Roman" w:hAnsi="Times New Roman"/>
          <w:sz w:val="18"/>
          <w:szCs w:val="18"/>
          <w:i w:val="1"/>
          <w:iCs w:val="1"/>
          <w:color w:val="auto"/>
        </w:rPr>
        <w:t>www.etoro.com</w:t>
      </w:r>
      <w:r>
        <w:rPr>
          <w:rFonts w:ascii="Times New Roman" w:cs="Times New Roman" w:eastAsia="Times New Roman" w:hAnsi="Times New Roman"/>
          <w:sz w:val="18"/>
          <w:szCs w:val="18"/>
          <w:color w:val="auto"/>
        </w:rPr>
        <w:t>. If we lose the ability to use a domain name that we currently use,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in certain jurisdictions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protecting, defending and enforcing our rights in our domain names may require litigation, which could result in substantial costs and diversion of resources, which could in turn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halt the operations of third-party websites that aggregate or misappropriate our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our users, our brand and business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Employees and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in hiring and retaining qualified employees. The loss of our key employees, including our management and founders, could adversely impact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key personnel, including our CEO and Co-Founder, Yoni Assia. If Mr. Assia or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 and our key personal have been, and may continue to be, subject to poaching efforts by our competitors and other high-growth companies, including well-capitalized players in the market in which we operate.</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our future success will depend upon our continued ability to identify, hire, develop, motivate and retain highly skilled individuals across the globe. Competition for highly skilled personnel is often intense, especially in Israel where our principal office is located, and we may incur significant costs in order to attract and retain people. Changes to our current and future office environments or adoption of a new work model, including our return-to-office policy, may not meet the needs or expectations of our employees or may not be perceived as favorable compared to other companies’ policies, which could negatively impact our ability to attract, hire and retain our employees. Our products and services require sophisticated knowledge of the financial services industry, applicable regulatory and industry requirements, computer systems and software applications, and if we cannot hire or retain the necessary skilled personnel, we could face disruptions in our operations or suffer deterioration in the quality of our service, experience difficulty meeting our objectives or complying with applicable requirements or otherwise fail to satisfy our users’ demands. As a result of the industry-wide competition for such skilled personnel in the markets in which we operate,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equity or equity awards declines, it may adversely affect our ability to retain highly skilled employees. 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as we grow, we could lose the innovation, creativity and teamwork we have fostered, which could harm our business.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company culture has been critical to our success, which we believe fosters innovation, creativity and teamwork among our employees across all offices around the world. Our ability to continue to cultivate and maintain this culture is essential to our growth and continued success. We face a number of challenges that may affect our ability to sustain our corporate culture, including:</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attract, reward and retain people in leadership positions in our organization who share and further our culture, values, and mission;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geographic diversity of our workforce and our ability to promote a uniform and consistent culture across all our offices and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 evolving regulatory environment.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unique culture is one of our core characteristics that helps us to attract and retain key personnel. If we are not able to maintain our culture, we would have to incur additional costs and find alternative methods to recruit key employees, which in turn could adversely affect our business, financial condition, cash flows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employees, and large shareholders may encounter potential conflicts of interest with respect to their positions or interests in certain assets, entities and other initiatives, which could adversely affect our business and reputation.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frequently engage in a wide variety of transactions and maintain relationships with a significant number of third parties in connection with our platform. These transactions could create potential conflicts of interests in management decisions that we make. For instance, certain of our officers, directors, and employees are investors in us or these third parties themselves, and may make investment decisions that favor projects that they have personally invested in. Such persons may hold assets that we are considering supporting for trading on our platform, and may be more supportive of such support notwithstanding legal, regulatory, and other issues associated with such assets or, similarly, may acquire more of such assets in anticipation of us announcing the introduction of such assets onto our platform. As we expand our operations and the number of offerings on our platform, we may confront increasing numbers of potential conflicts of interest related to our officers’ and directors’ trading activity. In addition, under certain circumstances, certain of our officers have the ability to hamper, interrupt or prohibit trading in certain assets, particularly in less liquid securities, which could result in personal gains for those officers. If we fail to manage these conflicts of interests, our business may be harmed and our brand, reputation and credibility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and regional instability may adversely affect our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employees, including our founders and certain members of our management team, operate from our headquarters that are located in Bnei Brak, Israel. In addition, a number of our officers and directors are residents of Israel. Accordingly, military, political, and economic conditions in Israel may directly affect our business.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Israel has experienced, and may in the future experience, armed conflicts, terrorist activity, civil unrest, and political instability, which could disrupt our operations and supply chain. Such conditions may result in the call-up of our employees for military reserve duty for extended periods, reducing workforce availability. Armed conflict or terrorist activity may cause physical damage to our facilities or to public infrastructure, utilities, and telecommunications networks in Israel, and Israeli companies may face heightened cybersecurity threats during periods of regional tension. These disruptions could lead to increased operating costs, challenges to business continuity, risks to employee safety, and difficulties in delivering products and services in a timely manner. In addition, counterparties to our agreements may assert force majeure claims based on security conditions in Israel, which could affect our ability to meet contractual obligations or enforce the obligations of others.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Regional instability and armed conflict may have broader adverse effects on economic and financial conditions in Israel, including effects on credit markets, currency valuation, inflation, and labor markets. Prolonged conflicts have in the past required significant mobilization of military reservists, including personnel employed in the sector in which we operate, which may affect workforce availability across the industry. Such conditions may also result in credit rating changes for Israel, which could adversely affect access to capital and general business conditions.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insurance does not cover losses resulting from war or terrorist attacks. While the Israeli government has in the past provided compensation for certain damages caused by such events, we cannot assure you that such government compensation programs will continue, or if continued, will be sufficient to compensate us fully for any losses incurred. As of the date of this report, the impact of regional security conditions on our results of operations and financial condition has not been material; however, such impact could increase and may become material if conditions deteriorate. Any significant losses or damages incurred by our Israeli operations as a result of armed conflict, terrorist activity, or related instability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or our officers and directors in Israel or the United States or to assert U.S. securities laws claims in Israel or serve process on our officers and directors.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may be difficult to enforce a U.S. judgment against us, our officers and directors in Israel or the United States, or to assert U.S. securities laws claims in Israel or serve process on our officers and directors.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of our directors or officers are not residents of the United States and most of their and our assets are located outside the United States. Service of process upon us or our non-U.S. resident directors and officers and enforcement of judgments obtained in the United States against us or our non-U.S.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reasoning that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Israeli law may delay, prevent or make undesirable an acquisition of all or a significant portion of our shares or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taxed as an Israeli corporation and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the shares have not been disposed.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increasingly complex tax laws and transfer pricing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multinational organization operating in multiple jurisdictions, including, but not limited to, the E.U., the U.K., Australia, the United States and Israel,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the allocation of profits between the various entities and jurisdictions and precedents, which could have a material adverse effect on our business.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the jurisdictions in which we conduct business have detailed transfer pricing rules, which require contemporaneous documentation establishing that all transactions with non-resident related parties be priced using arm’s-length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tax liabilities and expenses and potentially on our results of operations and financial condition. In addition, once we reach annual consolidated turnover of €750 million, as generally determined under Organization for Economic Cooperation and Development (the “OECD”) guidance pursuant to Pillar Two (as discussed below), we will be obligated to submit country by country transfer pricing reports, which may entail a different controversy and compliance environment for the tax authorities in the jurisdictions in which we are regulated or serve users. We are continuously assessing our tax obligations to submit country by country transfer pricing reports on an ongoing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regular review and audit by the relevant tax authorities in the jurisdictions in which we are regulated or serve users and as a result, the authorities in these jurisdictions could review our tax returns and impose additional significant taxes, interest and penalties, challenge the transfer pricing policies adopted by us, claim that our operation constitutes a taxable presence in a different jurisdiction and/or that various withholding requirements apply to us or our subsidiaries or assert that benefits of tax treaties are not available to us or our subsidiaries, any of which could materially affect our income tax provision, Net income (loss), or cash flows in the period or periods for which such determination is made.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companies in the online trading industry, including us, may become subject to incremental taxation in various tax jurisdictions which seek to tax various aspects of the digital economy. Although taxing jurisdictions have not yet adopted uniform positions on this topic, we are assessing our tax obligations under such tax legislations on an ongoing basis. We could be required to collect additional sales, use, value added, digital services, or other similar taxes, either direct or indirect, or be subject to other liabilities that may increase the costs our users would have to pay for our products and adversely affect our results of operations. If we are required to be responsible for payment for such additional taxes and are unable to pass such taxes or expenses through to our users, our costs would increase and our Net income (loss) would be reduced.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United States, certain members of the U.S. Congress and individual state legislatures have proposed the imposition of new taxes on a broad range of financial transactions, including transactions that occur on our platform, such as the buying and selling of stocks and derivative transactions. While it is difficult to assess the impact the proposed tax rules could have on us, if a financial transaction tax is implemented in any jurisdiction in which we operate, our business, financial condition, cash flows and results of operations could suffer a material adverse effect, and we could be impacted to a greater degree than other market participants.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tax incentives, benefits or differing interpretations of tax laws or our inability to maintain our beneficial tax status may adversely affect our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we are eligible for certain tax benefits provided to “Special Preferred Technological Enterprises” under the Israeli Law for the Encouragement of Capital Investments, 1959 (the “Investment Law”). In order to remain eligible for the tax benefits for Special Preferred Technological Enterprises, which benefits include a reduced corporate tax rate on “Preferred Technological Income” (as defined in the Investment Law), we must continue to meet certain conditions stipulated in the Investment Law and its regulations, as amended. There is no assurance that income that we report as Preferred Technological Income will not be reclassified or be taxed at the reduced corporate tax rate or that we will remain eligible for the tax benefits for Special Preferred Technological Enterprises in the future, or that those or benefits will be available to us in the future. If these tax benefits are reduced, canceled or discontinued, or if we fail to continue to meet certain conditions, our Israeli taxable income would be subject to regular Israeli corporate tax rates. The standard corporate tax rate for Israeli companies is currently 23%. Furthermore, the reduction, cancellation or discontinuation of the tax benefits for Special Preferred Technological Enterprises might have adverse tax consequences for our shareholders with respect to tax withholding and the tax rate that would apply on dividends paid by us. Additionally, if we increase our activities outside of Israel through acquisitions, for example, our expanded activities might not be eligible for inclusion in future Israeli tax benefits. See the section of this annual report titled “Tax Considerations—Certain Israeli Tax Considerations.”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currently undergoing a corporate income tax audit in Israel for the taxable years of 2017-2022. The tax audit is ongoing and there is no assurance that our reported taxable income as reported in our tax returns will be accepted by the Israel Tax Authority (the “ITA”). Any changes as a result of assessments made by the ITA could have an adverse impact on our financial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international tax reforms, particularly the implementation of the OECD’s Pillar Two Global Minimum Tax, may materially affect our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effective tax rate of 15% for the year ended December 31, 2025 will not change over time as a result of changes in corporate income tax rates or other changes in the tax laws in the jurisdictions in which we are regulated or serve users. Any changes in tax laws could have an adverse impact on our financial results. 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example, there is growing pressure in many jurisdictions and from multinational organizations such as the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(the “BEPS”) initiative,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it is still difficult in some cases to assess to what extent these changes impact our tax liabilities in the jurisdictions in which we conduct our business or to what extent they may impact the way in which we conduct our business or our effective tax rate due to the unpredictability and interdependency of these potential changes.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€20 billion and profitability of at least 10%) that sell goods and services into countries with little or no local physical presence. We do not expect to be within the scope of the first pillar. The second pillar is focused on ensuring large multinational enterprises (“MNEs”) pay a minimum level of tax on the income arising in each jurisdiction where they operate. Taxpayers in scope (MNEs with global revenue of at least €750 million in at least two years out of the four previous years) should calculate their effective tax rate according to the relevant rules in each jurisdiction, which are essentially based on the OECD model rules, for pillar two. According to the model rules provisions for relevant jurisdictions and should pay top-up tax on the difference between their effective tax rate per jurisdiction and a 15% minimum tax rate. In addition, such taxpayers will be subject to compliance requirements in the relevant jurisdictions.</w:t>
      </w:r>
    </w:p>
    <w:p>
      <w:pPr>
        <w:spacing w:after="0" w:line="1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temporary relief from the scope of Pillar Two effective tax rate calculations is provided for jurisdictions which the MNE operate in, if it can be demonstrated that the specific jurisdiction satisfies one of three ‘safe harbor tests’ during a “transitional period” (2024-2026).</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Pillar Two legislation has been enacted or substantively enacted in certain jurisdictions where eToro operates (including UK, Italy, Denmark, Germany, Belgium, Cyprus, Israel, France, UAE, Gibraltar, Singapore and Australia), and will take effect for the financial year beginning January 1, 2024 in some of these jurisdictions. Israel is one of the 136 jurisdictions that has agreed in principle to the adoption of the global minimum tax rate and has introduced legislation implementing certain parts of Pillar Two commencing January 1, 2026, specifically the Qualified Domestic Top Up Tax which requires in scope Israeli companies to supplement Israeli corporate tax if their effective tax rate as computed under the rules of Pillar Two is below 15%. Israel has also proposed legislation, expected to be finalized by March 31, 2026, and become effective as of January 1, 2026, introducing a new R&amp;D tax credit mechanism designed to preserve Israel’s competitiveness in the post–Pillar Two environment. Given these developments, it is generally expected that tax authorities in various jurisdictions in which we are regulated or serve users may increase their audit activity and may seek to challenge some of the tax positions we have adopted. It is difficult to assess if and to what extent such challenges, if raised, might impact our effective tax rate and our reporting and additional compliance obligations.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assessing our tax obligations under such tax legislation on an ongoing basis. Based on our assessment, as of December 31, 2025, we do not expect material implications as result of Pillar Two.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assurances that we will not be a passive foreign investment company for any taxable year, which could subject U.S. holders to significant adverse U.S. federal income tax consequences.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or become a “passive foreign investment company” (a “PFIC”) within the meaning of Section 1297 of the U.S. Internal Revenue Code of 1986, as amended (the “Code”) for any taxable year during which a U.S. holder (as defined in the section titled “Tax Considerations—Certain U.S. Federal Income Tax Considerations”) holds our Class A common shares, certain adverse U.S. federal income tax consequences may apply to such U.S. holder. Based upon our current and expected income and assets and projections we do not expect to be a PFIC for the current taxable year or for the foreseeable future. No assurance can be given in this regard, however. For further discussion of the PFIC rules, including the adverse U.S. federal income tax consequences that could apply to a U.S. holder if we were to become a PFIC in any taxable year in which a U.S. holder owns our Class A common shares, see “Tax Considerations— Certain U.S. Federal Income Tax Considerations—Passive Foreign Investment Company Considerations” and “Tax Considerations—Certain U.S. Federal Income Tax Considerations—Passive Foreign Investment Company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securities may be volatile.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and therefore the market price of our securities may be volatile and could decline significantly. In addition, the trading volume in our securities may fluctuate and cause significant price variations to occur. If the market price of our securities declines significantly, you may be unable to resell your shares at or above the market price of our securities as of the closing. There can be no assurance that the market price of our securities will not fluctuate widely or decline significantly in the future in response to a number of factors, including, among others, the following:</w:t>
      </w:r>
    </w:p>
    <w:p>
      <w:pPr>
        <w:spacing w:after="0" w:line="18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described herein;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key performance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stock exchange on which we list our Class A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or anticipated issuances, sales or resales, of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bitcoin and other cryptoassets;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repurchase any of our Class A common shares pursuant to our announced repurchase program or that our repurchase program will enhance long-term shareholder value.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2025, our board of directors authorized our repurchase program under which an amount of $150 million was made available to purchase our Class A common shares. In February 2026, our board of directors authorized a $100 million expansion of the previously authorized share repurchase program. The repurchase program, as authorized by our board of directors, provides the Company with the authority to make repurchases of our Class A common shares. The specific timing and amount of repurchases under the repurchase program will depend upon several factors, including but not limited to market and business conditions, the trading price of our Class A common shares, regulatory requirements and capital availability. The program does not require the purchase of any minimum dollar amount or number of Class A common shares, and the program may be modified, suspended or discontinued at any time. As of December 31, 2025, the Company has repurchased 1,568,741of our Class A common shares in an aggregate amount of $62.17 million.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Repurchases of our Class A common shares pursuant to our repurchase program could affect the market price of our Class A common shares or its volatility. Additionally, our repurchase program could diminish our cash reserves, which may impact our ability to finance future growth and to pursue possible future strategic opportunities and acquisitions. There is no assurance that our repurchase program will enhance long-term shareholder value, and short-term share price fluctuations could reduce the repurchase program’s effectiveness.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share capital will have the effect of concentrating voting power with all of our shareholders that held shares immediately prior to the closing of our initial public offering, including our CEO and Co-Founder, Yoni Assia, which will limit your ability to influence the outcome of matters submitted to our shareholders for approval.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share of our Class B common shares is entitled to 10 votes per share, while each share of our Class A common shares entitles its holder to one vote per share. Shareholders that held shares immediately prior to the closing of our initial public offering (the “pre-IPO shareholders”), including our CEO and Co-Founder, Yoni Assia, received Class B common shares and, therefore, together hold all of our issued and outstanding Class B common shares. Accordingly, such pre-IPO shareholders own Class A common shares and Class B common shares (including shares over which they have voting or administrative control) representing, in the aggregate, as of February 20, 2026, based on information available to the Company, approximately 68% of the voting power of our outstanding share capital, which voting power may increase over time as such shareholders exercise or vest in equity awards outstanding at the time of the completion of our initial public offering. As a result, these shareholders will be able to significantly influence all matters submitted to our shareholders for approval, as well as our management and affairs, particularly if they were to choose to act together. These shareholders may have interests that differ from yours and may vote in a way with which you disagree and which may be adverse to your interests. For example, these persons, if they choose to act together, would control or significantly influence the election of directors, the adoption of amendments to our A&amp;R memorandum and articles and approval of any merger, consolidation or sale of substantially all of our assets. This concentration of ownership control may:</w:t>
      </w:r>
    </w:p>
    <w:p>
      <w:pPr>
        <w:spacing w:after="0" w:line="19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change in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our board;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shareholders may desire.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such actions could deprive our shareholders of an opportunity to receive a premium for their share capital as part of a sale of our company and might ultimately affect the market price of our Class A common shares.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Transfers by the holders of Class B common shares will generally result in those shares automatically converting into Class A common shares, subject to certain exceptions. In addition, all outstanding shares of our Class B common shares will automatically convert into one Class A common share at 5:00 p.m. New York City time on the earlier of (i) the date specified by affirmative vote or written consent of the holders of at least two-thirds (66 2⁄3%) of the outstanding Class B common shares, voting or acting as a separate class, (ii) such time on which the total number of issued and outstanding Class B common shares on a fully diluted basis (assuming for such purpose the conversion and exercise of any and all outstanding rights or securities that are convertible or exercisable into Class B common shares) represent less than fifteen percent (15%) of the total number of issued and outstanding Class B common shares on a fully diluted basis (calculated in the same manner) as of the date of the closing of our initial public offering (after giving effect to the sale of Class A common shares in our initial public offering) or (iii) May 13, 2035 (the tenth anniversary of the closing of our initial public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regulatory authorities provide that acquisition by any party of more than 9.99% of our issued share capital or voting power requires a license by such regulatory authorities or such ownership is otherwise approved. Our A&amp;R memorandum and articles include provisions designed to help implement these requirements, which may impact shareholders’ ability to vote or receive distributions with respect to any shares in excess of the foregoing limitation.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Finally, holders of options and restricted share units outstanding as of immediately prior to the completion of our initial public offering will receive, upon exercise or settlement of their outstanding options or restricted share units under the Plans, Class A common shares and an equal number of Class B common shares, and such future issuances of Class B common shares would be dilutive to holders of Class A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A&amp;R memorandum and articles include provisions that may discourage takeover attempts.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in our A&amp;R memorandum and articles may have the effect of deterring coercive takeover practices and inadequate takeover bids by making such practices or bids unacceptably expensive to the bidder and by encouraging prospective acquirers to negotiate with our board rather than to attempt a hostile takeover. These provisions include, among others: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structure, which provides our pre-IPO shareholders, including our CEO and Co-Founder, Yoni Assia, individually or together, with the ability to significantly influence the outcome of matters requiring shareholder approval, even if they own significantly less than a majority of our outstanding Class A common shares and Class B common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staggered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shares and to determine the voting, dividend, and other rights of preferred shares without shareholder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and not shareholders, to fill vacancies on our board in most circumstances and to determine the size of our board;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exact"/>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two-thirds (66²⁄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affirmative approval by shareholders entitled to vote at a meeting of our shareholders in order to remove directors or adopt, amend or repeal certain provisions of our A&amp;R memorandum and articles and, for so long as any Class B common shares are outstanding the holders of at least two-thirds (66²⁄</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of the Class B common shares outstanding at the time of such vote, voting as a separate series, to adopt, amend or repeal certain provisions of our A&amp;R memorandum and articles;</w:t>
      </w:r>
    </w:p>
    <w:p>
      <w:pPr>
        <w:spacing w:after="0" w:line="19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shareholders to call meetings and bring proposals before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shareholders acting by written consent without prior board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rights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shareholders to approve an amendment to our A&amp;R memorandum and articles unless prior board approval has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shareholders owning more than 9.99% of our issued share capital or voting rights, without approval from applicable regulatory authorities.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these provisions are not intended to make us immune from takeovers, they will apply even if the offer may be considered beneficial by some shareholders and may delay or prevent an acquisition that our board determines is not in the best interests of us and our shareholders. These provisions may also prevent or discourage attempts to remove and replace incumbent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shares,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and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shares less attractive to other investors. As a result, the market price of our Class A common shares could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Class A common shares in the public market by our pre-IPO shareholders could cause our share price to decline.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of substantial number of our Class A common shares in the public market, or the perception that such sales could occur, could harm the prevailing market price of our Class A common shares.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pursuant to the Fifth Amended and Restated Investors’ Rights Agreement, certain of our pre-IPO shareholders and their respective affiliates and permitted third-party transferees will have the right, in certain circumstances, to require us to register their Class A common shares under the Securities Act for sale into the public markets. See “Item 7.B. Related Party Transactions—Investors’ Rights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shares may decline significantly when the restrictions on resale by our pre-IPO shareholders lapse. A decline in the price of our Class A common shares might impede our ability to raise capital through the issuance of additional common shares or other equity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A&amp;R memorandum and articles designate the federal district courts of the United States as the sole and exclusive forum for certain types of actions and proceedings that may be initiated by our shareholders.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A&amp;R memorandum and articles provide that, unless we consent in writing to the selection of an alternative forum, the U.S. federal district courts shall be the sole and exclusive forum for any claim asserting a cause of action arising under the Securities Act and the Exchange Act. We note that investors cannot waive compliance with U.S. federal securities laws and the rules and regulations thereunder.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A&amp;R memorandum and articles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A&amp;R memorandum and articles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materially adversely affect the market price of our Class A common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Class A common shares or offering debt or other equity securities, including senior or subordinated notes, debt securities convertible into equity or preferred shares. In addition, we may seek to expand operations in the future to other markets which we would expect to finance through a combination of additional issuances of equity, corporate indebtedness and/or cash from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Issuing additional common shares or other equity securities or securities convertible into equity may dilute the economic and voting rights of our pre-IPO shareholders or reduce the market price of our Class A common shares or both. Upon liquidation, holders of such debt securities and preferred shares, if issued, and lenders with respect to other borrowings would receive a distribution of our available assets prior to the holders of our Class A common shares.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shares. Our decision to issue securities in any future offering will depend on market conditions and other factors beyond our control, which may adversely affect the amount, timing or nature of our future offerings. Thus, holders of our Class A common shares bear the risk that our future offerings may reduce the market price of our Class A common shares and dilute their shareholdings in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Class A common shares in connection with our incentive plans or otherwise will dilute all other shareholders.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have an aggregate of 755,478,228 Class A common shares and 60,796,482 Class B common shares authorized but unissued (including shares reserved for Class A common shares and Class B common shares issuance under our incentive plans). We may issue all of these Class A common shares and Class B common shares without any action or approval by our shareholders, subject to certain exceptions. Any Class A common shares and Class B common shares issued in connection with our incentive plans or otherwise would dilute the percentage ownership held by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Class A common shares or Class B common shares in the foreseeable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do not plan to pay any dividends on our Class A common shares or Class B common shares in the near term. The declaration, payment and amount of any future dividends will be made at the discretion of our board and will depend upon, among other things, the results of operations, cash flows and financial condition, operating and capital requirements, any existing contractual restrictions and other factors as our board considers relevant. Further, under BVI law, our board may only pay dividends if we are solvent before and after the dividend payment in the sense that we will be able to satisfy our liabilities as they become due in the common course of business, and the value of our assets will not be less than the sum of our total liabilities. There is no assurance that future dividends will be paid, and if dividends are paid, there is no assurance with respect to the amount of any such dividend. See “Dividend Policy.” Until such time that we pay a dividend, our investors must rely on sales of their common shares after price appreciation, which may never occur, as the only way to realize any future gains on their investment.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trading market for our Class A common shares is affected by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Class A common shares could be negatively impacted. If we obtain securities or industry analyst coverage in the future, and if one or more of the analysts who covers us downgrades our Class A common shares or publishes inaccurate or unfavorable research about our business, our share price would likely decline. If one or more of these analysts ceases coverage of us or fails to publish reports on us regularly, demand for our Class A common shares could decrease, which could cause the share price and trading volume of our Class A common shares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U.S. public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has limited experience managing a U.S. publicly traded company, interacting with public company investors and complying with the increasingly complex laws pertaining to public companies. As a result, they may not successfully or efficiently manage their new roles and responsibilities, as a public company we are subject to significant regulatory oversight, reporting obligations under U.S. and international securities laws and the continuous scrutiny of securities analysts and investors. These new obligations and constituents require significant attention from our senior management and could divert their attention away from the day-to-day management of our business, which could result in less time being devoted to our management, growth and the achievement of our operational goals.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may not have adequate personnel with the appropriate level of knowledge, experience and training in the accounting policies, practices or internal control over financial reporting required of public companies in the United States. We are in the process of upgrading our finance and accounting systems and related controls to an enterprise system suitable for a public company, and a delay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in the United States may require costs greater than expected. We may need to significantly expand our employee base in order to support our operations as a public company, increasing our operating costs. Failure to adequately comply with the requirements of being a U.S. public company, could adversely affect our business, financial condition and results of operation.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devotes substantial time to new compliance initiatives.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that qualifies as a foreign private issuer, we are subject to certain of the reporting requirements of the Exchange Act and the Sarbanes-Oxley Act. The Exchange Act requires the filing of annual reports on Form 20-F and current reports on Form 6-K with respect to a public company’s business and financial condition. The Sarbanes-Oxley Act requires, among other things, that a public company establish and maintain effective internal control over financial reporting. As a result, we incur significant legal, accounting and other expenses that we did not previously incur. Our management team and many of our other employees devote substantial time to compliance and may not effectively or efficiently manage our public company obligations. See “—</w:t>
      </w:r>
      <w:r>
        <w:rPr>
          <w:rFonts w:ascii="Times New Roman" w:cs="Times New Roman" w:eastAsia="Times New Roman" w:hAnsi="Times New Roman"/>
          <w:sz w:val="18"/>
          <w:szCs w:val="18"/>
          <w:i w:val="1"/>
          <w:iCs w:val="1"/>
          <w:color w:val="auto"/>
        </w:rPr>
        <w:t>Our management team has limited experience managing a U.S. public company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follow certain home country corporate governance practices, which may not provide shareholders with protections afforded to shareholders of companies that are subject to all BVI corporate governance requirements.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subject to different disclosure and other requirements than domestic U.S. registrants.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short-swing profit rules applicable to domestic U.S. registrants under Section 16 of the Exchange Act; however, following recent amendments to Section 16(a) of the Exchange Act, our directors and certain of our officers will become subject to the reporting provisions set forth therein, effective March 18, 2026. In addition, we rely on exemptions from certain U.S. rules which permit us to follow BVI legal requirements rather than certain of the requirements that are applicable to U.S. domestic registrants.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company organized under the laws of BVI, a substantial portion of our assets are located outside the United States. As a result, it may be difficult or impossible to (i) effect service of process within the United States upon us; or (ii) enforce, against us, court judgments obtained in U.S. courts, including judgments relating to U.S. federal securities laws.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It is unlikely that BVI courts would entertain original actions against BVI companies, their directors or officers predicated solely upon U.S. federal securities laws. The BVI courts may apply any rule of BVI law which is mandatory irrespective of the governing law and may refuse to apply a rule of such governing law of the relevant documents, if it is manifestly incompatible with the public policy of BVI. Furthermore, judgments based upon any civil liability provisions of the U.S. federal securities laws are not directly enforceable in BVI. Rather, a lawsuit must be brought in the BVI on any such judgment. The courts of BVI would recognize a U.S. judgment as a valid judgment, and permit the same to provide the basis of a fresh action in BVI and should give a judgment based thereon without there being a re-trial or reconsideration of the merits of the case; provided that (i) the courts in the United States had proper jurisdiction in the matter and the parties had either submitted to the jurisdiction of the United States or were resident or carrying on business within the United States and were duly served with process in relation to such judgment, (ii) the judgment is for a debt or definite sum of money other than a sum payable in respect of taxes, fines or charges of a like nature or in respect of a fine, sanction, penalty, or similar fiscal or revenue obligations, (iii) the proceedings in the U.S. courts in which the judgment was obtained were not contrary to natural justice, (iv) the judgment was not obtained by fraud on the part of the party in whose favor the judgment was given or of the court pronouncing it, (v) the recognition or enforcement of such judgment would not be contrary to the public policy of BVI, (vi) the correct procedures under the laws of the BVI are duly complied with, (vii) the judgment is not inconsistent with a prior BVI judgment in respect of the same matter and (viii) enforcement proceedings are instituted within six years after the date of such judgment.</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BVI laws and regulations applicable to BVI companies do not contain any provisions comparable to the U.S. proxy rules, the U.S. rules relating to the filing of reports on Form 10-Q or 8-K or the United States rules relating to liability for insiders who profit from trades made in a short period of time, as referred to above. 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will be subject to BVI laws and regulations having, in some respects, a similar effect as Regulation Fair Disclosure. As a result of the above, even though we are required to file reports on Form 6-K disclosing the limited information which we have made or is required to make public pursuant to BVI law, or is required to distribute to shareholders generally, and that is material to us, you may not receive information of the same type or amount that is required to be disclosed to shareholders of a U.S. company.</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Nasdaq rules for shareholder meeting quorums, distribution of our annual report to shareholders,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We may in the future elect to follow home country practices with regard to other matters. As a result of the above, our shareholders will not have the same protections afforded to shareholders of companies that are subject to all Nasdaq corporate governance requirements.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may cause us to incur significant legal, accounting and other expenses.</w:t>
      </w:r>
    </w:p>
    <w:p>
      <w:pPr>
        <w:spacing w:after="0" w:line="159"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more than 50% of our outstanding voting securities are owned by U.S. residents and any one of the following is true:</w:t>
      </w:r>
    </w:p>
    <w:p>
      <w:pPr>
        <w:spacing w:after="0" w:line="3" w:lineRule="exact"/>
        <w:rPr>
          <w:sz w:val="20"/>
          <w:szCs w:val="20"/>
          <w:color w:val="auto"/>
        </w:rPr>
      </w:pPr>
    </w:p>
    <w:p>
      <w:pPr>
        <w:jc w:val="both"/>
        <w:ind w:firstLine="8"/>
        <w:spacing w:after="0" w:line="251"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directors or executive officers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mandatory U.S. federal proxy requirements, and our officers, directors and principal shareholders will become subject to the short-swing profit recovery provisions of Section 16 of the Exchange Act. In addition, we will lose our ability to rely upon exemptions from certain corporate governance requirements under the listing rules of Nasdaq. If we lose our foreign private issuer status, we may incur significant additional legal, accounting and other expenses that we may not otherwise incur as a foreign private issuer, which could harm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June 2025, the SEC issued a concept release soliciting public comment on potential changes to the definition of a foreign private issuer. This release is the first review of the foreign private issuer framework since 2008, and the SEC is considering revisions that could significantly impact which foreign companies qualify for the more-relaxed U.S. reporting requirements afforded to foreign private issuers. The concept release outlines several potential approaches to revising the foreign private issuer definition, including updating existing eligibility criteria, adding foreign trading volume requirements, and incorporating an assessment of foreign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factors may impose additional costs and expose us to new risks.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certain investors, regulators, employees, users and other stakeholders concerning corporate responsibility, specifically related to sustainability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 actions with respect to corporate social responsibility are inadequate. We may face reputational damage in the event that we do not meet the sustainability standards set by various constituencies.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financial condition, cash flows and results of operations could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right="7340" w:firstLine="332"/>
        <w:spacing w:after="0" w:line="503" w:lineRule="auto"/>
        <w:tabs>
          <w:tab w:leader="none" w:pos="6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Our History</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eToro was founded with the vision of a world where everyone can trade and invest in a simple and transparent way. We have created an investment platform built around collaboration and investor education. 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3.81 million Funded Accounts across our global footprint of 75 countries. We have built a globally recognized brand, ranking highly for brand awareness in the U.K., Europe, UAE and Australia. We also have a presence and intent to continue growing within Asia Pacific and the Americas, including the United States.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our platform, users can trade equities, commodities, currencies and cryptoassets, traded as the underlying asset or a derivative, depending on the asset class and on the user’s location. We encourage our users to take a diversified approach to investing through our curated content and by offering an increasingly wide range of investment opportunities. We also offer our users a choice of how to invest. Users can trade directly themselves, invest in a portfolio or replicate the investment strategy of other investors on our platform. eToro Money, our money management offering, enables users to make deposits, withdrawals and trade local stocks in local currencies. We also provide many valuable investment tools and services, including sophisticated charting and analysis tools and extended-hours trading. Over time, we expect to continue to grow our userbase and deepen their engagement with our platform through our social community and our global, diversified, multi-asset products and services.</w:t>
      </w:r>
    </w:p>
    <w:p>
      <w:pPr>
        <w:spacing w:after="0" w:line="192"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eToro Group Ltd. was incorporated on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2006 in the British Virgin Islands (“BVI”) as a limited liability business company. The mailing address of our principal executive office is 30 Sheshet Hayamim St., Bnei Brak, Israel 5120261. Our telephone number is +972 73-265-6600. We maintain the following website: </w:t>
      </w:r>
      <w:r>
        <w:rPr>
          <w:rFonts w:ascii="Times New Roman" w:cs="Times New Roman" w:eastAsia="Times New Roman" w:hAnsi="Times New Roman"/>
          <w:sz w:val="18"/>
          <w:szCs w:val="18"/>
          <w:i w:val="1"/>
          <w:iCs w:val="1"/>
          <w:color w:val="auto"/>
        </w:rPr>
        <w:t>www.etoro.com</w:t>
      </w:r>
      <w:r>
        <w:rPr>
          <w:rFonts w:ascii="Times New Roman" w:cs="Times New Roman" w:eastAsia="Times New Roman" w:hAnsi="Times New Roman"/>
          <w:sz w:val="18"/>
          <w:szCs w:val="18"/>
          <w:color w:val="auto"/>
        </w:rPr>
        <w:t>. Our website provides information about our business. Information contained on, or that can be accessed through, our website is not part of this annual report and is not incorporated by reference herein. We have included our website address in this annual report solely for informational purposes. Our SEC filings are available to you on the SEC’s website at http://www.sec.gov. This site contains reports, proxy and information statements, and other information regarding issuers that file electronically with the SEC. Our agent for service of process in the United States is eToro USA LLC, located at 221 River St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Hoboken, NJ 07030, and our telephone number is +1 201-479-0267.</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Principal Capital Expenditures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capital expenditures for fiscal years 2023, 2024 and 2025 amounted to $5.5 million, $21 million, and $2.2 million, respectively. Capital expenditures consist primarily of investments in computers and related equipment, leasehold improvements for our office space, purchases of furniture, and internal use software capitalization. We anticipate our capital expenditures in fiscal year 2026 to be approximately 0.4% out of projected Net Contribution. We anticipate our capital expenditures in 2026 will be financed with cash on hand and cash provided by operating activities.</w:t>
      </w:r>
    </w:p>
    <w:p>
      <w:pPr>
        <w:spacing w:after="0" w:line="176" w:lineRule="exact"/>
        <w:rPr>
          <w:sz w:val="20"/>
          <w:szCs w:val="20"/>
          <w:color w:val="auto"/>
        </w:rPr>
      </w:pPr>
    </w:p>
    <w:p>
      <w:pPr>
        <w:ind w:right="9140" w:firstLine="332"/>
        <w:spacing w:after="0" w:line="503" w:lineRule="auto"/>
        <w:tabs>
          <w:tab w:leader="none" w:pos="6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Our Mission</w:t>
      </w: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mission is to open the global markets, connect our users to leading investors and give them the tools they need to grow their knowledge and wealth.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financial markets are widely recognized as one of the greatest paths to wealth creation, although they have historically been opaque and inaccessible to many. The rise of low-commission digital trading platforms over the past decade has supported greater retail access to the financial markets, however, we believe that they often lack educational tools, including the ability to collaborate and learn from others. Similarly, we believe that the predominantly passive offerings provided by robo-advisory platforms are limited and do not equip more experienced investors and traders with the full range of assets and tools they are seeking.</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eToro was founded in 2007 with the vision of a world where everyone can trade and invest in a simple and transparent way. We set out to change the retail investing experience by pioneering social investing. We have built a collaborative investment community designed to provide users with the educational resources and tools they need to grow their knowledge and wealth. Users can view other investors’ portfolios and statistics, and interact with them to exchange ideas and discuss strategies. Our platform aims to combine the best elements of a social network with the ability to seamlessly trade and invest, all within a regulated, digital investment platform purpose-built for financial discourse and community. 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our platform, users can trade equities, commodities, currencies and cryptoassets, traded as the underlying asset or a derivative, depending on the asset class and on the user’s location. Users can trade directly, invest in a portfolio or use CopyTrader’s one step process to replicate the investment strategy of other investors on our platform at no extra cost. eToro Money, our complimentary money management offering, enables users to make deposits, withdrawals and trade local stocks in local currencies. We also provide many valuable investment tools and services, including sophisticated charting and analysis tools.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company with a vision to disrupt the status quo, a passion for finance and technology is in our DNA. We have a strong track record of identifying and adopting key trends, and bringing the financial utility of these innovations to the benefit of our business and our users. For example, following the launch of social networks such as Facebook and X (formerly known as Twitter), we pioneered social investing and launched our patented CopyTrader in 2010. Similarly, with the advent of crypto we were one of the first brokers in the European Union to offer bitcoin. As thematic investing grew, we launched our range of Smart Portfolios in 2017 to provide retail investors with easy access to thematic and strategy-based investing. Today we are actively exploring the utility of artificial intelligence, or AI, deploying it across our business to create more personalized customer journeys and operational efficiencies. We aim to continue to leverage new technologies to improve the eToro experience and further our mission.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3.81 million Funded Accounts across our global footprint of 75 countries. We have built a globally recognized brand, ranking number one or two in brand awareness for trading in our seven key markets.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in attracting and retaining users stems from our flywheel powered by our breadth of products and services, our educational content, and our collaborative platform. New and experienced investors come to eToro to benefit from our global, multi-asset offering. Newer investors can access educational resources that empower them to invest, or they can copy the portfolios of other users to leverage the experience of others. More experienced investors benefit from our breadth of offering and our robust set of tools and analytics to support their trading needs. A number of our users have access to our Pro Investor program, engaging with the broader eToro investor community, and monetizing the dollar value of users’ assets copying their portfolio. Together, new and experienced investors alike feed each other’s experience within a platform built on collaboration, transparency and trust.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 time, we expect to continue to grow our business by attracting and converting more of our users into Funded Accounts, deepening their engagement with our platform and community. For the year ended December 31, 2025 and December 31, 2024, our Net Contribution was $868 million and $787 million, respectively, an increase of $80 million, or 10%. We recorded Net income of $216 million and $192 million for the years ended December 31, 2025 and December 31, 2024, respectively, a $24 million increase, or 12%. Our Adjusted EBITDA was $317 million and $304 million for the years ended December 31, 2025 and December 31, 2024, respectively, a $13 million increase, or 4%. See “Item 5. Operating and Financial Review and Prospects—Non-IFRS Financial Metrics.”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there is power in shared knowledge and that we can become more successful by investing together. We are determined to lead the democratization of investing and are committed to breaking down the traditional barriers, promoting financial education and supporting the continued increase in retail investor participation in capital markets through our community-driven social investing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in Our Favor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and Innovating Capital Markets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global capital markets have historically been viewed as one of the most significant sources of wealth creation and the ways in which investors have engaged in the markets have evolved through technological innovation.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introduction of ETFs offered a novel way for retail investors to invest across a range of asset classes through a simpler and more cost-effective vehicle. Global assets under management in ETFs grew by 27% in 2024 to reach $14.6 trillion and are predicted to exceed $26 trillion by June 2029 according to PwC.</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Technological innovation has also broadened access to passive investment tools through the wide-spread adoption of risk-based model portfolios and robo-advisory services. These types of curated risk-based model portfolios and algorithmic investment tools were historically only available to high net worth or affluent individuals, but have now become more widely accessible.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asset classes are also gaining popularity through emerging technologies. Cryptoassets have gained prominence over the last decade and continue to grow and mature rapidly. The overall market capitalization of cryptoassets was approximately $3 trillion as of December 31, 2025, according to CoinGecko data. We are seeing a convergence between traditional finance and cryptoassets as regulatory clarity in the cryptoasset market continues to emerge and traditional financial institutions begin to offer services in support of the cryptoasset ecosystem. Following the approval of bitcoin and ether spot ETFs by the SEC in January and May 2024, respectively, cryptoassets are now more accessible by retail and institutional investors.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see a significant opportunity to address the global investing community across a wide and evolving universe of investable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Retail Participation in Financial Markets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global capital markets continue to expand and evolve, retail investors are becoming increasingly large participants. S&amp;P estimates that there are over $20 trillion of retail client assets in the United States today, across over 100 million brokerage accounts. The most recent Federal Reserve Survey of Consumer Finances, as reported by Pew Research, revealed that 58% of U.S. families had some sort of exposure to the stock market in 2022, the highest level ever recorded by the Survey of Consumer Finances. Comparatively, E.U. had 7% exposure in 2023, as reported by Oliver Wyman, and U.K. had 20% exposure in 2015, as reported by a survey conducted by the Department of Work and Pension.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this trend of increasing retail participation extends to non-U.S. markets as well, where there has historically been less retail participation, and therefore more runway to expand towards U.S. levels. Oliver Wyman forecasts that Europe will add 22 million new brokerage accounts by 2028 which means penetration in the adult population will increase by 72% from 6.8% in 2023 to 11.7% in 2028. Total financial assets of households in the E.U. were valued at €37.3 trillion in 2023, up from €33.5 trillion in 2022, of which 36% comprises equity and investment fund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Wealth Transfer to Younger Generations With Earlier Market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retail participation in the financial markets has steadily increased, we also observe a trend of younger generations participating from an earlier age. On average, Gen Z began investing at age 19, compared to age 32 for Gen X and age 35 for Baby Boomers. On a global basis, retail investors accounted for 52% of global assets under management in 2021, which is expected to grow to over 61% by 2030.</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this trend, coupled with a significant multi-generational wealth transfer to younger generations represents a significant tailwind for retail investing. According to UBS Global Wealth Report 2024, an estimated $83.5 trillion in assets are expected to be transferred to younger generations within the next 20 to 25 years. As this multi-generational wealth transfer occurs, we believe a substantial portion of assets transferred will be invested in the financial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Consumer Expectations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Across industries, there has been a movement towards products and brands that redefine the user experience through digitalization. Consumers now expect instant access and an intuitive and engaging offering where customer service and personalized experiences are a baseline requirement. Underscoring this trend of consumer preference for digital-first solutions is the mass adoption of fintech services observed in recent years. This ongoing shift in consumer preference and expectations has gone hand in hand with the proliferation of the Internet, cloud-based technologies, and smartphone access, as the widespread adoption of these new technologies brought about significant innovation.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AI is driving the next major shift in the consumer experience and expectations, and will continue to accelerate consumer preferences towards intuitive, digital platforms. According to Deloitte, the growth of generative AI marks the first time a technological shift of this magnitude has been so widely accessible. As a result, Deloitte predicts that AI-enabled applications could become the leading source of retail investment advice in 2027, and that such apps will reach 78% usage among retail investors in 2028. This potential shift from human advisors to AI presents a significant opportunity for platforms with access to retail investor data and a strong understanding of how to leverage that data to support the evolving needs of retail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Need for Reliable Social Forums for Financial Discourse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a 2022 retail survey from BNY Mellon and the World Economic Forum, 74% of retail investors say that they would likely invest more if they had more opportunities to learn about investing. We believe much of this demand is being channeled to social media platforms. In 2023, over 1.4 billion posts on X referenced trading or investing topics, a year-over-year growth of 54%. A study by the FINRA Investor Education Foundation found that over 60% of U.S. investors under the age of 35 use social media as a primary source of investment information, surpassing the use of traditional financial advisors in this demographic.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believe this underscores the significant interest and demand for community-based financial discourse, existing social media platforms often lack the oversight, transparency and regulatory compliance or accountability required for financial services. A 2024 study conducted by Capital One found that 80% of financial content on YouTube is made by content creators with no qualifications. Additionally, in 2024, the Federal Trade Commission reported losses totaling $5.7 billion from investment-related fraudulent scams initiated on social media in the United States alone.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use of social networks to discuss and engage in the financial markets has expanded, we believe that there is an unmet need for a transparent and trusted educational forum for consumers to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helped pioneer social investing by creating a platform that enables our users to invest, trade, save and spend as part of a global social network. We provide users with access to a global, multi-asset product offering, with a localized user experience. We empower our users with a differentiated ecosystem for education and collaboration and a user experience built upon the foundations of transparency and compliance. We believe that few, if any, other platforms have been able to successfully combine a multi-asset investment platform with educational and social features purpose-built for collaboration.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Platform with a Localized Experience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one of the largest global footprints of any retail investing platform, providing services to users in 75 countries around the world. We have invested considerable resources towards building out our global footprint, including obtaining regulatory licenses and establishing the required compliance and risk management functions within our organization, as well as continuously developing our platform to manage the challenging requirements of real-time, global financial markets. We believe these features provide a differentiated competitive edge which enables us to operate as an established retail investment platform on a global scale. The assets and products available for users to trade and invest in are also global in scope, with our platform offering equities listed on over 20 of the world’s leading stock exchanges.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our platform is global in nature, we are also investing significant resources towards providing our user base with a localized experience for investing, trading, saving and spending in our key markets.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Localization includes making our platform available in 20 languages, providing the ability to manage balances in multiple currencies and to trade in local currencies via eToro Money (currently available in GBP in the U.K., EUR in Europe, and AUD in Australia), and offering additional features that include localized tax reports, as well as local tax efficient saving and investing wrappers such as the eToro ISA, which we launched in the U.K.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eToro Academy provides free educational resources in 11 languages and our team of 18 analysts across 12 regions share insights and analysis on global and local markets daily, which accumulated to over 17,000 media clippings in target markets in 2025. We also leverage localization in our brand and marketing efforts, which has helped us achieve a number one or two in brand awareness for trading across our seven key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Multi-Asset Product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our users with a gateway to the global financial markets, offering a platform that empowers our users to invest, trade, save and spend in a way that suits their unique needs. On our platform, users can trade equities, commodities, currencies and cryptoassets, traded as the underlying asset or a derivative, depending on the asset class and on the user’s location. On our global platform, users can trade thousands of instruments, including over 150 cryptoassets, 127 curated Smart Portfolios, and copy over 4,750 members of the Pro Investor program. The specific availability of asset classes, instruments and services varies across markets depending on certain factors, namely the applicable regulations of the jurisdiction where the user resides.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offer our users the choice of how to invest or trade. They can trade directly, copy another investor through our CopyTrader capabilities, or invest in one of our Smart Portfolios, which are portfolios of assets based on specific themes or strategies. We cater to users of all abilities by providing many of the tools they need to grow their wealth. We continue to expand the range of investment tools and services available to our users including sophisticated charting and analysis tools, proxy voting and extended hours trading.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Similarly, we enable users to invest and spend using local currencies through our eToro Money offering, to deposit and to fund trades without foreign exchange fees, and to transfer, withdraw or spend balances in local currencies through our IBAN account and in the U.K. through our debit card. As of December 31, 2025, we had over 1.8 million registered IBAN accounts.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this diverse, multi-product offering is a key differentiator, and a significant part of our value proposition which helps us attract more users and increase our share of user assets on our platform. Because of this diversity of product offering, we are able to serve a broad array of users, from casual investors who may solely purchase or sell equities, to advanced traders capable of employing more advanced portfolio management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More Stable Financial Profile Given The Diversity Of Our Multi-Asset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Net Contribution reflects total revenue and income, less the cost of revenue from cryptoassets and margin interest expense. We use Net Contribution to evaluate the net contributions of our users’ activity on our platform before considering the overhead costs associated with our operations. The breakdown of our Net Contribution by asset class demonstrates the diversification of our business and our ability to capitalize on diverse market conditions, without overreliance on, or overexposure to, any single asset class or geography. Historically, increased trading activity in a particular instrument, market or asset class influenced our Net Contribution in certain quarters or years.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cryptoassets accounted for 38% of our Net Contribution in the fourth quarter of 2024 as the crypto market rallied following the U.S. presidential elections and in the second quarter of 2025, equities, commodities and currencies accounted for 54% of our Net Contribution as the equity market responded to tariff news. During times of increased retail investor participation in equity markets, we see an increase in Net Contribution from equities.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diversity of markets, asset classes and instruments, as well as the geographical breadth of our user base, acts as a diversification hedge for our Net Contribution. Similarly, we generate revenue through a multifaceted model consisting of trading income, interest income, money management fees, and other value-added products and services. The ability to generate revenue from transactions, balances and subscriptions provides additional diversification benefits to our financial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Built on the Key Principles of Compliance and Transparency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consumer-facing retail investment platform, we understand that our users entrust us with their money, and that their trust is a privilege that is earned each and every day.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regulated investment platform and compliance is central to everything we do: we are licensed in multiple jurisdictions and we work with leading global financial institutions to hold and safeguard our users’ cash deposits and to serve as trading counterparties. We are committed to compliance with applicable rules and regulations in all jurisdictions in which we are regulated or serve users, and we pride ourselves on collaborating with regulators around the world to enhance consumer protection.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licensed to provide financial services by regulatory authorities in multiple jurisdictions, including in the U.K. (FCA), Europe (CySEC in Cyprus), Australia (ASIC) and the United States (FINRA FinCen and the New York State Department of Financial Services), among other regulators in other jurisdictions. See “—State of Regulation” below.</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work with leading global financial institutions as our banking partners, including J.P. Morgan, Deutsche Bank, Coutts, Bank J. Safra Sarasin, Banque Pictet &amp; Cie SA and UBP, among others, to securely hold and safeguard our users’ cash deposits. Our trading counterparties include large multinational investment banks such as Goldman Sachs, JP Morgan and UBS. All client funds are reconciled and segregated from our own funds in line with local regulations to ensure funds are secure. We have achieved SOC 2 Type II Compliance Certification, demonstrating a strong commitment to data security and privacy of our custody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safeguard client cryptoassets in segregated omnibus digital wallets on behalf of our users, in accordance with applicable regulatory requirements and industry best practices. We hold users’ safeguarded cryptoassets using hot and cold wallet storage systems, as well as our financial management systems related to such custodial functions.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supplement compliance with the guiding principle of transparency. One of our cultural values is ‘keeping it simple’, so we strive to remove barriers and make online trading and investing simpler, more accessible, and more transparent for all.</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our users have public profiles which provide transparency on the assets they hold and how they have performed as an investor. Similarly, those who engage in social discourse on our platform are accountable for their content and communications. We enforce an established code of conduct and community guidelines and actively monitor user activity to ensure adherence. We take appropriate action against any behavior that breaches these guidelines by removing posts, restricting user access, or notifying relevant regulators when required.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strict protective measures for our community are designed to ensure that the quality of the experience on our platform is held to the highest standard. We also enhance social discourse by integrating our analysts, teams and Pro Investors directly within the social flow. Our Pro Investors are required to communicate regularly with their followers via their feed, updating them on their investment decisions and answering any questions from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Empowering Users through Education and Collaboration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developed tools and resources for our users to collaborate and learn as they engage with the global markets.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offer “demo accounts” so our users can practice managing their own virtual portfolio with $100,000 in virtual money to trade, invest or copy others thereby gaining confidence without risking any of their own capital as they are starting out.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eToro Academy empowers users to grow their knowledge through resources built to increase financial literacy and knowledge of the financial markets. As of December 31, 2025, the eToro Academy had over 6.6 million views and over 1.2 million unique users engaging with our collection of over 3,600 articles, videos, podcasts, and webinars available in 11 languages. We regularly publish market insights to educate and engage our members, and we focus on making these highly accessible and engaging. We also drive our own social news feed which wraps around all of the practice, learning, and market insights our users gain through our platform.</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these efforts translate to deepened engagement on our platform and help us establish loyal, long-term relationships with our users that enable us to grow with them and attract a greater share of their financial assets as they expand their wealth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Investing Creates Value to Investors of All Levels of Experience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created an investment platform built around collaboration and engagement. The eToro platform combines our regulated, global and multi-asset platform with the best elements of a trusted and transparent social community purpose-built for financial discourse. We believe this combination creates a powerful flywheel driven by our product offering, the engagement we facilitate across our community, relentless innovation informed by continuous feedback from our users, and the increasing power of shared knowledge within a social community.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social aspects of our platform create differentiated value propositions for investors of all levels of experience. For new or casual investors, our demo account, educational content and ability to engage socially create an environment where investing can be learned and practiced.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CopyTrader offering allows users to copy the investment strategy of members of our Pro Investor program. It is a patented technology that allows users to diversify across asset classes or instruments they may be unfamiliar with by copying a more experienced investor. CopyTrader also caters to users that may not have the time or desire to actively trade on their own by allowing them to automatically copy the investment strategy of another investor.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more experienced investors, in addition to providing a global multi-asset platform, research and insights into the financial markets, and sophisticated charting and analysis tools, we offer a means to monetize their presence on our platform. Our Pro Investor program empowers experienced investors to build a following, establish Assets Under Copy through our CopyTrader offering, and build a revenue stream from eToro as a reward for driving engagement and helping provide more investing options to the eToro community. Members of the Pro Investor program can earn a percentage of the assets copying them.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time, both new and experienced investors trade and invest on our platform, developing a track record, investment convictions and insights, and other information they want to share with the eToro community. Such material forms the basis of our organic eToro community content that engages our global user base to learn about companies and investments. We also produce, curate, and moderate content that builds upon investing knowledge and empowers users to engage.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our social community grows, so does our ability to better serve our users through the valuable feedback collected 24/7 across our diverse, global footprint. We use this customer-centric feedback to fuel our relentless product innovation, delivering an appealing and intuitive experience for our users and expanding our offering to reach more users and deepen our relationships with existing users.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Founder-Led Management Team with Track Record of Innovation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eToro was founded by Yoni Assia and his brother Ronen with a vision of a world where everyone can trade and invest in a simple and transparent way. We are a founder-led business and our management team has an average tenure of 13 years with high retention across the leadership team. Our management team brings experience from multiple disciplines including brokerage, technology, online marketing, banking and data sciences. We have supplemented this knowledge by sourcing world class advisors and board members including former regulators and domain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Technology to Drive Innovation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 strong track record of identifying and adopting key trends, bringing the financial utility of new innovations to the benefit of our business and our users.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2010, we facilitated the growth of social investing by launching our patented CopyTrader technology. In 2013, we became one of the first regulated brokers in the European Union to offer bitcoin and our CEO and Co-Founder Yoni Assia co-wrote the Colored Coins white paper with Ethereum creator Vitalik Buterin. Colored Coins was one of the first protocols to enable the tokenization of assets on top of the Bitcoin protocol. In 2019, following the acquisition of Danish token startup Firmo, we launched tokenized gold (GOLDX) and silver (SLVX) alongside a number of fiat currencies.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we introduced Smart Portfolios, providing retail investors with an easy way to invest in predetermined themes or strategies, such as 5G, cloud computing and renewable energy. In creating these portfolios we used advanced algorithms, machine learning and AI to build investment strategies and curate assets. In 2021, we launched eToro Money in the U.K., beginning our journey to enhance the money management experience through e-money accounts, local currencies and debit cards.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AI-first company and we are embedding AI across our business to accelerate product development, improve efficiency and enhance how we operate at scale. AI has become a core part of our operating model, helping teams to move faster and deliver more impact. We are increasingly automating user touchpoints, a majority of incoming customer service inquiries are now handled by our AI chatbot, and we will continue to leverage automation to provide faster and more efficient customer support, helping users access information and resolve issues more quickly and with a better experience. We also believe we are leading the way in using AI for developer empowerment with an increasing proportion of code now being written by AI.</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AI is deeply integrated into our product offering and how we empower our users. It is transforming our ability to give every investor access to smarter tools and more personalized insights. Across the platform, we are using AI to help users better understand market behavior, portfolio performance, and risk, and to support more informed decision-making. Through our public APIs and suite of AI-powered tools, users and partners can build, share, and scale strategies and tools, creating a growing ecosystem. We are creating a more personalized user journey through Tori, our AI Agent, which offers a smarter and more intuitive investing and learning experience across the eToro platform and our eToro Academy. In 2025, we launched a range of Alpha Portfolios built using machine learning analysis of eToro’s proprietary retail trading data. We are also actively collaborating with AI specialists to offer our users access to Smart Portfolios powered by such specialists’ proprietary AI.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is to open the global markets to everyone. We expect to expand our business by acquiring more users both in existing and new markets, increasing our share of our users’ wallets and growing with our users as their knowledge and assets grow over time. We anticipate that future acquisitions will continue to play an additive role in enhancing product development, localizing our product offering and shortening our time to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More Users In Existing Markets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achieved significant growth to date across our global footprint, we believe the markets in which we operate are still significantly underpenetrated, creating a strong opportunity for our future expansion. For example, European retail participation is only 7% of the population as compared to 58% in the United States. We believe this disparity highlights the significant runway for growth across our existing markets.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acquire more users by providing the investing, trading, saving and spending tools and resources to serve the unique needs of current and future users. CopyTrader makes investing accessible for those more comfortable investing alongside experienced members of the eToro community, rather than venturing into investing on their own. Similarly, our range of Smart Portfolios provide retail investors with access to thematic investing opportunities without having to pay a management fee. Our crypto offering enables access to a new asset class for both crypto enthusiasts and traditional investors seeking diversified opportunities. Our eToro Money offering marks the beginning of our journey towards providing an enhanced money management experience.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ongoing localization efforts will also attract more users to the platform as we are able to offer more value to our users through features specifically suited to their needs, such as the ability to transact in local currencies, local tax wrappers and other localized features. For example, in 2023 we launched the eToro ISA for U.K. users. Similarly, our acquisition of Australian investing app, Spaceship, in November 2024 enabled us to strengthen our footprint in a key market and to broaden our product offering via Spaceship’s superannuation (a local retirement savings product) and managed funds. In May 2025, we entered into a partnership with Generali, a major player in the French life insurance market, to offer users in France access to retirement (PER) and life insurance products. We are actively exploring other local partnership and acquisition opportunities in order to further develop our long-term saving and investing proposition.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we acquired Delta, a multi-asset investment tracker. Delta offers a simple way to track performance and manage multiple asset classes and portfolios in real time, all on one platform, using powerful tools and charts. Delta provides a clear and accessible overview of users’ investments across multiple brokerage and/or cryptoasset exchange accounts. The active and growing Delta user base provides an additional user acquisition channel for us. Delta is also provided as a benefit to some of our eToro Club members. Delta forms the basis for our forthcoming subscription offering which we will expand beyond Delta to encompass many additional benefits and premium services for our users.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further support our user acquisition with highly targeted advertising and marketing efforts in our key markets, seeking to enhance our local appeal to prospective users. Marketing initiatives, such as our sports sponsorship, regular out-of-home advertising, public relations and media partnerships, have enabled us to rank number one or two for brand awareness for trading in our seven key markets demonstrating the strength of our profile.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Adding more users also supports our self-reinforcing community flywheel which supports compounding growth. As more users join our platform, we see increased collaboration and shared knowledge through the engagement across our social features and Pro Investor program. With more collaboration and shared knowledge, we see greater engagement through both investing and social activity, as users put ideas to work, either through pursuing an investment strategy of their own, investing in our range of curated portfolios, or copying other investors. As we see more engagement and trading activity, we benefit through increased scale and profitability, which we can deploy into further products, features, and educational tools that provide new investing options and opportunities for engagement.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our Share of Existing User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committed to earning and maintaining the trust of our users. In doing so, we believe that we will continue to foster long-term relationships with our users and increase our share of users’ assets on our platform over time.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found that our users accumulate greater wealth and generate more investable assets over the span of their time investing on eToro. The eToro Club provides an opportunity for these users to experience greater benefits on our platform as their investing capabilities and wealth mature over time. We believe that we are well positioned to continue growing with our users.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multi-asset offering means we are able to present diversification opportunities to our users. We will continue to seek to create new products and features that can capture a greater share of users’ assets, including retaining those generated organically through our users’ wealth accumulation over time, and by offering products and features that can address a broader set of our users’ wealth across investing, trading, saving and spending. In addition, we believe that through our continued localization efforts, such as localized trading, investing and saving products, we will see a higher proportion of our existing users’ wealth funneled to our platform as a result of our ability to serve a greater proportion of their needs. We also plan to expand existing recurring revenue sources, such as staking and introduce new sources such as subscription services, new asset classes and geographies and products. For example, we launched our securities lending program in Europe, the U.K. and the UAE in 2025. We also expanded our futures offering across Europe and launched futures and options trading in the U.K.</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large population of users with whom we have the ability to continuously offer new value propositions, including those who have not yet funded their account and are solely participating in the educational and social aspects of our platform. We continue to communicate and focus on converting these users to Funded Accounts over time. Similarly, we engage with our users that only hold one asset class, such as cryptoasset holders, to help them understand the value of diversification.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Moving Into New Markets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to increase eToro’s expansive global footprint by entering new markets using our well-established playbook for both organic and inorganic international expansion. Our ability to expand via organic growth is exemplified by the United Arab Emirates, where we were approved for a Financial Service Permission from the Financial Services Regulatory Authority of the Abu Dhabi Global Markets Authority to operate as a broker for securities, derivatives and cryptoassets in November 2023. This approval of our operating license in the United Arab Emirates enabled us to launch bespoke, local marketing initiatives and to engage more with clients and partners in the region. We hope to enjoy the same success in Singapore where we activated our license from the Monetary Authority of Singapore in July 2025. As an example of inorganic growth, in November 2024 we acquired Australian investing app Spaceship, growing our local footprint and broadening our long-term savings and investing proposition in the region by providing our users with access to superannuation and managed funds. Further, we have several growth markets, including Latin America, Asia, the United States, Central and Eastern Europe and Nordic countries, in which we continue to see an increase in growth in users and overall awareness of our brand. We see opportunities in underpenetrated markets around the world and will continue to explore adding new countries to our footprint.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Innovation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 innovation is a core driver of our user acquisition and retention efforts providing new ways for existing users to further engage with our platform as well as attracting new users. Our product innovation focuses on improving the social experience, as well as the tools our users need to invest, trade, save and spend.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invest considerable resources to personalize users’ investing experiences by expanding our asset universe, adding more equities which are listed on various stock exchanges to our platform and enabling investing in local currencies. We collaborate with a growing number of stock exchanges including the London Stock Exchange, Deutsche Boerse and Euronext to provide our users with higher quality pricing data and access to thousands of additional equities. We are working on similar engagements with other leading exchanges to further enhance our local trading experience.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Acquisitions play an additive role in enhancing product development, localizing our product offering and shortening our time to market. For example, in 2020, we acquired UK-based e-money business Marq Millions, now eToro Money, in order to reduce our payment processing fees and improve the user experience. In August 2022, we acquired Gatsby, an options trading platform, which allows us to offer options to users in the United States with plans to expand this to other markets around the world. In October 2022, we bought Bullsheet, a provider of portfolio management tools designed exclusively for eToro users, which we have now integrated into our platform. In January 2024, we acquired Deep, an AI focused content automation technology business and in November 2024, we acquired Spaceship, an Australian investing app, in order to strengthen our footprint in a key market and to broaden our product offering via Spaceship’s superannuation (a local retirement savings product) and managed funds.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Partnerships with market leaders also enable us to stay at the forefront of product innovation. For example, we work with Broadridge to facilitate proxy voting for all equities on the platform allowing our users to have their say in the decisions shaping the future of the companies they hold shares in. In 2024, we partnered with BlackRock to launch five core portfolios tailored to different risk profiles, adding to our range of Smart Portfolios. In 2025, we launched six portfolios in partnership with Franklin Templeton to help users invest via target-date strategies. These Smart Portfolios offer fully managed investment solutions and present ongoing opportunities for collaboration with established financial institutions. We will continue to enhance the trading experience by offering more instruments, including options, futures and sophisticated pro-trader tools.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eToro is an AI-first company. Across the platform, we are using AI to help users better understand market behavior, portfolio performance, and risk, and to support more informed decision-making. In 2025, we launched our public APIs and a series of AI-powered tools enabling our users and partners to build, share and scale strategies and tools. This is a growing ecosystem which will scale further with the forthcoming launch of the eToro App Store. Tori, our AI Agent, also continues to evolve as we move towards a future where everyone has their own personal ‘wealth manager’ tailored to their individual goals and risk profile.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actively building as finance moves increasingly on-chain. With a long history in crypto and tokenization, eToro is already part of this transition. Our holistic crypto offering positions us to continue bridging cryptoassets and traditional markets, supporting the evolution from crypto trading today to tokenized markets and new forms of financial participation over time.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Continued product innovation will keep eToro at the forefront of digitally-native brokerage offerings and engage with the rising generation of investors who seek intelligent digital offerings and trusted social forums to serve their financial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values are reflected in our product offerings and user experience, as well as embedded in our internal culture and employee experience.</w:t>
      </w:r>
    </w:p>
    <w:p>
      <w:pPr>
        <w:spacing w:after="0" w:line="221" w:lineRule="exact"/>
        <w:rPr>
          <w:sz w:val="20"/>
          <w:szCs w:val="20"/>
          <w:color w:val="auto"/>
        </w:rPr>
      </w:pPr>
    </w:p>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Keeping it simple: </w:t>
      </w:r>
      <w:r>
        <w:rPr>
          <w:rFonts w:ascii="Times New Roman" w:cs="Times New Roman" w:eastAsia="Times New Roman" w:hAnsi="Times New Roman"/>
          <w:sz w:val="18"/>
          <w:szCs w:val="18"/>
          <w:color w:val="auto"/>
        </w:rPr>
        <w:t>We strive to remove barriers and make online trading and investing accessible to everyone, simpler, and more transparent.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our easy-to-use platform to the way we communicate, we will always make things as simple as possible.</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Constantly innovating: </w:t>
      </w:r>
      <w:r>
        <w:rPr>
          <w:rFonts w:ascii="Times New Roman" w:cs="Times New Roman" w:eastAsia="Times New Roman" w:hAnsi="Times New Roman"/>
          <w:sz w:val="18"/>
          <w:szCs w:val="18"/>
          <w:color w:val="auto"/>
        </w:rPr>
        <w:t>We were founded to disrupt traditional finance and innovation is in our DNA. With one eye on the markets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our community, we will continue to build cutting-edge financial products and services to meet our users’ evolving needs.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Better together: </w:t>
      </w:r>
      <w:r>
        <w:rPr>
          <w:rFonts w:ascii="Times New Roman" w:cs="Times New Roman" w:eastAsia="Times New Roman" w:hAnsi="Times New Roman"/>
          <w:sz w:val="18"/>
          <w:szCs w:val="18"/>
          <w:color w:val="auto"/>
        </w:rPr>
        <w:t>Our users are part of a growing global community. There is power in shared knowledge. We enable our users to connect, learn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 with other investors. By transforming investing into a group effort, we yield better results and become more successful, together.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Striving for excellence: </w:t>
      </w:r>
      <w:r>
        <w:rPr>
          <w:rFonts w:ascii="Times New Roman" w:cs="Times New Roman" w:eastAsia="Times New Roman" w:hAnsi="Times New Roman"/>
          <w:sz w:val="18"/>
          <w:szCs w:val="18"/>
          <w:color w:val="auto"/>
        </w:rPr>
        <w:t>We strive to anticipate and exceed our users’ expectations by putting them at the center of every decision we make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aim to provide the best possible user experience. As a regulated business, we take our users’ privacy and security seriously, employing various solutions.</w:t>
      </w:r>
    </w:p>
    <w:p>
      <w:pPr>
        <w:spacing w:after="0" w:line="170" w:lineRule="exact"/>
        <w:rPr>
          <w:rFonts w:ascii="Times New Roman" w:cs="Times New Roman" w:eastAsia="Times New Roman" w:hAnsi="Times New Roman"/>
          <w:sz w:val="18"/>
          <w:szCs w:val="18"/>
          <w:color w:val="auto"/>
        </w:rPr>
      </w:pPr>
    </w:p>
    <w:p>
      <w:pPr>
        <w:ind w:left="660" w:right="20" w:hanging="328"/>
        <w:spacing w:after="0" w:line="317"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Empowerment: </w:t>
      </w:r>
      <w:r>
        <w:rPr>
          <w:rFonts w:ascii="Times New Roman" w:cs="Times New Roman" w:eastAsia="Times New Roman" w:hAnsi="Times New Roman"/>
          <w:sz w:val="17"/>
          <w:szCs w:val="17"/>
          <w:color w:val="auto"/>
        </w:rPr>
        <w:t>Lack of experience and lack of knowledge are two of the main reasons why people choose not to invest. We want to get our users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 that fence, so we provide a wide range of educational tools and resources, plus an easy-to-use platform to support their investment journey.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Our Users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have accumulated approximately 3.81 million Funded Accounts with users from 75 countries. Our user base is diverse, representing a broad array of experience and nationalities. The median age of eToro users was 37 as of December 31,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users are largely tech savvy and socially connected, and they embrace innovation and are willing to share their activities online. Our users are central to our platform and the experience we can offer across the entire investing community on eToro. Many of our users, including those that have yet to fund an account and begin trading through our platform, utilize our community as a financial social network, seeking education and social engagement as they pursue their interest in the global markets.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strength of our social investing community means that our users are highly engaged with our platform. Our average eToro user logs onto eToro approximately four times per day for an average of approximately 12 minutes per session. Users with Funded Accounts generally take a long-term and diversified approach to their investing strategies. Looking at all trades open for at least a day during 2023, the average holding time was 255 days. In 2025, 92% of our users invested in equities, cryptoassets or copied another investor as their first action on our platform. Looking at Funded Accounts as of December 31, 2025, 53% invested in more than one type of asset class, demonstrating the strength of our multi-asset offering and the opportunities we offer for diversification.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build long-term, trusted relationships with our users by fostering a transparent social community, constantly innovating to create delightful experiences, and putting our users first in everything that we do. In doing so, we are able to create long-term users who continue to grow with us on the eToro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Engagement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platform is built around collaboration and engagement and is designed to provide users with educational resources and investment tools to enhance the user experience, facilitate the understanding of investment products and increase user interaction with our platform. We believe engagement is key to democratize investing, promote inclusivity and accessibility in capital markets and support the continued increase in retail investor participation in capital markets. To achieve this, we offer a variety of investment tools and educational resources to support users as they grow their wealth, promote long-term, responsible investing behaviors, and meet their needs at every stage of their investing journey.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tools and resources we make available to our users give them the opportunity to inform their own decision making when it comes to which assets to invest in, when to invest and how much they want to invest in line with their own unique needs and circumstances. These tools and resources include the following:</w:t>
      </w:r>
    </w:p>
    <w:p>
      <w:pPr>
        <w:spacing w:after="0" w:line="172" w:lineRule="exact"/>
        <w:rPr>
          <w:sz w:val="20"/>
          <w:szCs w:val="20"/>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eToro Academy: </w:t>
      </w:r>
      <w:r>
        <w:rPr>
          <w:rFonts w:ascii="Times New Roman" w:cs="Times New Roman" w:eastAsia="Times New Roman" w:hAnsi="Times New Roman"/>
          <w:sz w:val="18"/>
          <w:szCs w:val="18"/>
          <w:color w:val="auto"/>
        </w:rPr>
        <w:t>Our financial education hub includes ‘Ask eToro’ an AI-based chatbot which helps users to navigate the eToro Academy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directs them to relevant educational materials. We also regularly publish highly accessible and engaging market insights to educate our users on what is happening in global markets. See “—What Sets Us Apart—Empowering Users through Education and Collaboration” herein.</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Tori: </w:t>
      </w:r>
      <w:r>
        <w:rPr>
          <w:rFonts w:ascii="Times New Roman" w:cs="Times New Roman" w:eastAsia="Times New Roman" w:hAnsi="Times New Roman"/>
          <w:sz w:val="18"/>
          <w:szCs w:val="18"/>
          <w:color w:val="auto"/>
        </w:rPr>
        <w:t>Our AI Agent is designed to help users navigate the platform, discover investment opportunities, and better understand financial markets,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natural, conversational interaction.</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Demo Account: </w:t>
      </w:r>
      <w:r>
        <w:rPr>
          <w:rFonts w:ascii="Times New Roman" w:cs="Times New Roman" w:eastAsia="Times New Roman" w:hAnsi="Times New Roman"/>
          <w:sz w:val="18"/>
          <w:szCs w:val="18"/>
          <w:color w:val="auto"/>
        </w:rPr>
        <w:t>Enables users to learn and practice trading and investing with virtual money.</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Portfolio Insights: </w:t>
      </w:r>
      <w:r>
        <w:rPr>
          <w:rFonts w:ascii="Times New Roman" w:cs="Times New Roman" w:eastAsia="Times New Roman" w:hAnsi="Times New Roman"/>
          <w:sz w:val="18"/>
          <w:szCs w:val="18"/>
          <w:color w:val="auto"/>
        </w:rPr>
        <w:t>Designed to help users gain a comprehensive understanding of their current investments including performance,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history, risk score and risk contribution. Our Portfolio features also empower users to identify opportunities and benchmark their portfolio against other assets and highlights similar investors.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Discovery: </w:t>
      </w:r>
      <w:r>
        <w:rPr>
          <w:rFonts w:ascii="Times New Roman" w:cs="Times New Roman" w:eastAsia="Times New Roman" w:hAnsi="Times New Roman"/>
          <w:sz w:val="18"/>
          <w:szCs w:val="18"/>
          <w:color w:val="auto"/>
        </w:rPr>
        <w:t>Filters and tools which enable users to explore the global markets and learn about different investment opportunities offered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This includes details of assets or exchanges which have been recently added to the platform, trending assets, Pro Investor profiles and other insights.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Alerts: </w:t>
      </w:r>
      <w:r>
        <w:rPr>
          <w:rFonts w:ascii="Times New Roman" w:cs="Times New Roman" w:eastAsia="Times New Roman" w:hAnsi="Times New Roman"/>
          <w:sz w:val="18"/>
          <w:szCs w:val="18"/>
          <w:color w:val="auto"/>
        </w:rPr>
        <w:t>Users can enable or disable automatic alerts about market and account activity specific to their investments or interests in order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keep abreast of the latest developments.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Watchlist: </w:t>
      </w:r>
      <w:r>
        <w:rPr>
          <w:rFonts w:ascii="Times New Roman" w:cs="Times New Roman" w:eastAsia="Times New Roman" w:hAnsi="Times New Roman"/>
          <w:sz w:val="18"/>
          <w:szCs w:val="18"/>
          <w:color w:val="auto"/>
        </w:rPr>
        <w:t>Users can either keep the default Watchlist of trending assets or curate their own list of financial instruments, such as particular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certain cryptoassets, they wish to monitor. The watchlist provides key information on these instruments and also establishes the information that users view within the News Feed.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News Feed: </w:t>
      </w:r>
      <w:r>
        <w:rPr>
          <w:rFonts w:ascii="Times New Roman" w:cs="Times New Roman" w:eastAsia="Times New Roman" w:hAnsi="Times New Roman"/>
          <w:sz w:val="18"/>
          <w:szCs w:val="18"/>
          <w:color w:val="auto"/>
        </w:rPr>
        <w:t>Our News Feed empowers users to share their investment convictions and insights with the broader eToro community. Such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forms the basis of our organic eToro community content that engages our global user base to learn about companies and investing. We also produce, curate, and moderate content within the News Feed that builds upon investing knowledge and empowers users to engage more with our platform.</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Support: </w:t>
      </w:r>
      <w:r>
        <w:rPr>
          <w:rFonts w:ascii="Times New Roman" w:cs="Times New Roman" w:eastAsia="Times New Roman" w:hAnsi="Times New Roman"/>
          <w:sz w:val="18"/>
          <w:szCs w:val="18"/>
          <w:color w:val="auto"/>
        </w:rPr>
        <w:t>We offer a range of resources including a digital knowledge base and help center, AI-chat bot assistant, and customer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to answer users’ questions and provide guidance as required.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77" w:name="page78"/>
    <w:bookmarkEnd w:id="7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platform and services are implemented in accordance with applicable laws, rules and regulations regarding digital engagement practices. Users are able to set up an eToro platform that works entirely for their individual needs. Although we have default settings, most are able to be turned off and curated specifically by a user so they can track and monitor the assets, exchanges, Pro Investors and other information that is particular to their needs and interests. For instance, we allow users to opt out of non-transactional notifications altogether or with respect to a specific asset. Further, our social users are accountable for their content and communications and we enforce an established code of conduct and community guidelines and actively monitor user activity to ensure adherence. We take appropriate action against any behavior that breaches these guidelines by removing posts, restricting user access, or notifying relevant regulators when required. See “—State of Regulation—Social Investing.”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eToro Club</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eToro Club is a tiered membership program offering a wide range of services and tools to enhance a user’s investment experience. Membership is free, and our users are automatically enrolled and move up tiers once their eToro balance reaches certain equity levels. Membership is divided into five tiers: Silver ($5,000), Gold ($10,000), Platinum ($25,000), Platinum+ ($50,000) and Diamond ($250,000), each with its own premium perks and exclusive features, such as interest on cash balance, magazine subscriptions, tickets to sporting events and insurance.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 users joining eToro in their mid-30s on average, and growing into and then up the tiers of our eToro Club program. The eToro Club helps us to retain users, 72% of eToro Club members have had a Funded Account on eToro for three years or more, compared with 62% for non-eToro Club members. This percentage increases as users go up the eToro Club tiers. Members of the eToro Club exhibit higher engagement with the platform evidenced by a greater number of trades and higher deposit levels compared to non-eToro Club members.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2025, we launched the eToro Club Subscription giving users access to the Platinum tier of the eToro Club. With the new subscription, users can enjoy premium investing tools, financial perks and dedicated support - benefits that were previously reserved for users with a balance of $25,000 or more. The subscription is currently available to users in the UK and EU, with additional regions to follow.</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see a significant opportunity to continue enhancing our value proposition for our users by adding additional features and perks to our eToro Club membership tiers. As of December 31, 2025, we had over 720,000 members of the eToro Club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Investor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subset of our users are what we call “Pro Investors.” These users represent a select group of the top traders and investors in our community and they are core to our innovative CopyTrader offering. These are a vetted group of investors who are required to meet a specific set of criteria in order to be classified as a featured Pro Investor, including having a proven track record of investing on eToro, a transparent investment philosophy, regular communication with their copiers, and who are compliant with certain risk parameters set by us. Users can utilize our CopyTrader technology to automatically replicate the investment strategies of participants in the eToro Pro Investor program. Pro Investors serve as an important piece of our social investing community, helping to drive engagement on our platform, creating opportunities for novice investors to learn and try out investing strategies implemented by well-regarded investors in the eToro community.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reward members of the eToro Pro Investor program with incentives for driving engagement on our platform through payments that increase as they rise through the program’s ranks and grow their Assets Under Copy. As of December 31, 2025, we had over 4,750 members of the Pro Investor program. 17 of these Pro Investors had over $10 million in Assets Under Copy, and 125 had over $1 million in Assets Under Copy. 65% of participants in the Pro Investor program have a tenure of five years or more, 437 have obtained their Investment management certification from the Chartered Institute for Securities &amp; Investment and 68 hold a PhD.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Social Investing Network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in the power of shared knowledge and have created a community to enable our users to collaborate, share ideas, and learn with and from one another. Our platform combines the best aspects of a social network with a modern, intuitive, digital-first trading and investment platform. Our social investing community is alive 24/7 with our users asking questions, exchanging ideas, discussing investment topics, and empowering each other to take control of their financial lives.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social investing features include the ability for users to create profiles and engage with our dynamic news feed by posting, commenting and conversing with others. A user’s profile on our platform includes a biography and statistics about their trading and investing habits as well as their activity on the eToro news feed. The eToro news feed allows users to create a feed that is personalized to their own trading and investing interests by enabling users to follow the financial instruments and traders they like, interact with users they choose to and start discussions. Users can also receive notifications when a user they copy writes a post, an asset on their ‘watchlist’ becomes volatile and many other updates.</w:t>
      </w:r>
    </w:p>
    <w:p>
      <w:pPr>
        <w:spacing w:after="0" w:line="1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retail investors are looking for a trusted and transparent forum where they can collaborate, share ideas and benefit from the power of shared knowledge. Unlike other social platforms, we were purpose-built for financial collaboration, which means that we have guidelines and procedures in place to help ensure our community remains a safe and transparent place for financial dialogue. Our community and social investing features are a key reason users are attracted to our platform, and help to foster a highly engaged and vibrant community across our user base.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&amp; Products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a growing, global community of traders and investors. Our platform enables users to execute trades, share information, analysis and views, and see what others are doing in real time. We offer users a choice of asset classes to invest in from traditional assets such as equities, commodities or currencies alongside ‘new’ assets such as crypto, traded as the underlying asset or a derivative, depending on the asset class and on the user’s location. We also offer our users a choice of how to invest, as users can directly trade themselves, invest in a portfolio, or replicate the investment strategy of other investors on our platform.</w:t>
      </w:r>
    </w:p>
    <w:p>
      <w:pPr>
        <w:spacing w:after="0" w:line="1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simplify the investing experience, expand the universe of assets, introduce more tools and data, and make accessible the information users need in order to effectively invest in global markets. Our design principles include simplicity, quality and transparency, and are aimed at making the onboarding, asset discovery and trade execution phases intuitive.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Multi-Asset Investing Access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Users can access equities listed on 25 of the leading stock exchanges, 127 curated portfolios, and copy over 4,750 members of the Pro Investor program. Depending on the user’s jurisdiction, we also offer derivatives of asset classes, such as contracts for difference, and futures and options contracts. Our investable assets include those listed below, traded as the underlying asset or a derivative, depending on the asset class and on the user’s location:</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single-name equities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ETFs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Cryptoassets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Portfolios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Capabilities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CopyTrader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patented CopyTrader offering allows users to copy the investment strategy of members of the eToro Pro Investor program by assigning some of the user’s capital to proportionally mimic the portfolio of the Pro Investor, subject to certain jurisdictional and product-specific limitations. Each user’s past performance is displayed on their profile alongside their risk score and details of their investment approach. Users can stop copying at any time, and there is no additional charge for this service.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CopyTrader is our patented, proprietary technology that allows users to diversify across asset classes or instruments they may be unfamiliar with by copying a more experienced investor. It also allows users to benefit from the breadth of the global community of investors using eToro. 85% of those who copy another investor on eToro are copying a user that does not reside in the same country as them. CopyTrader also caters to users that may not have the time or desire to actively trade on their own by allowing them to automatically copy the investment strategy of another investor.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 Investor program enables users to copy experienced investors who meet certain criteria and are vetted by us, including their past performance in the CopyTrader system. The program enrolls investors and traders from around the world who wish to share their investment experience, connect with eToro users and build an online investment business on our platform. Investors who meet the criteria to join the Pro Investor program are compensated as their investment strategy is copied by more users on our platform. Compensation ranges from fixed amounts at lower tiers of copy engagement to a percentage of the assets copying them at higher tiers. These payments are made by eToro as an incentive for the continued contribution of these investors to a key feature of our social investing platform. As of December 31, 2025, eToro had over 4,750 members of the Pro Investor program, of which 17 had more than $10 million in Assets Under Copy and 125 had over $1 million in Assets Under Copy.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Smart Portfolios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Office manages a growing range of Smart Portfolios. There are two types of portfolios: top trader portfolios and thematic portfolios. Top trader portfolios are comprised of participants of the Pro Investor program that are selected using AI and machine learning technology and build portfolios around their trading activity. Thematic portfolios invest in assets according to a specific investment trend such as renewable energy, e-commerce, cryptoassets or driverless cars, providing retail investors with a simple and cost-efficient way to gain investment exposure to asset categories they care about. There are no management fees for the portfolios, which are rebalanced at prescribed intervals by our Investment Office.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partner with third parties to create portfolios, such as our range of five core portfolios tailored to different risk profiles with asset allocation guidance provided by BlackRock, target date portfolios in partnership with Franklin Templeton, a high growth tech portfolio with ARK Invest, and a long-term crypto portfolio with CoinShares.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127 curated portfolios on our platform which our users could invest in. We have seen growing demand for Smart Portfolios and aim to continue expanding our portfolio offering and update the offering as necessary as we introduce the product into new jurisdictions. We will also continue to invest in leveraging machine learning and AI technology. Currently, Smart Portfolios are only available to our U.S. users for cryptoassets.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eToro Money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eToro Money connects directly to a user’s eToro investment account and enables instant deposits and withdrawals, along with additional money services, such as a debit card for U.K. and E.U. users. It is also home to the eToro Wallet which allows users to securely store, send and receive cryptoassets, and transfer cryptoassets to the eToro platform. The ongoing development of eToro Money will enable trading in many different local currencies. Users in the U.K., European Union and Australia, can deposit, hold and fund trades in USD or in their respective local currency (GBP, EUR, or AUD, respectively). This service is currently not available to U.S. users.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tools and services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continue to expand the range of investment tools and services available to our users. We provide our users with sophisticated charts coupled with an intuitive interface. We are also transforming the way retail investors can participate in the governance of the companies they hold shares in by facilitating proxy voting for shares on the eToro platform. In July 2023, we launched extended hours trading that allows users to buy and sell a selection of equities outside of normal trading hours. This was extended in 2025 and users can trade the most popular ETFs, all stocks in the S&amp;P 500 and Nasdaq 100, and a number of Smart Portfolios 24/5.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and services are delivered through a robust and highly scalable technology platform that manages the requirements of a global, multi-asset, social investing platform. Our technology enables us to provide trading across global financial markets, serving the needs of users from 75 countries and multiple regulatory frameworks, and to quickly and effectively develop and launch new products and services. We have a highly qualified and experienced engineering team that has developed a technology stack designed to ensure that we can provide a secure, reliable service to our users. As a multi-regulated investment platform, security and compliance are embedded throughout our infrastructure and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Leveraging open architecture enables non-organic growth through partnerships as well as efficient integration of companies we acquire. Longstanding partnerships with leading providers such as Microsoft allow us to scale capacity and decrease our time-to-market. Data is integral to everything we do, and AI capabilities are creating more opportunities for data driven product development and growth.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employ the highest standards for protecting personal information. We invest heavily in sophisticated tools, encryption and masking technology, designed to protect data, while preventing, detecting, and mitigating unwelcome access to our systems. Similarly, we have robust business continuity plans in place, ready to be implemented when needed to continue service to our users all over the world in any emergency scenario. Business functions, operations and responsibilities are split across our network of global offices so there is no dependency on any single office.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the last decade, the eToro platform has experienced multiple periods of high demand, particularly during the 2017 and 2018 cryptoasset rally. As a result of these experiences and the continued investments we made into the development of our platform, we were well prepared to handle the increased demand we saw throughout 2021 and into 2022. We will continue to invest resources in our infrastructure and operations so that we can continue to meet the demand for our services as we scale.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0" w:name="page81"/>
    <w:bookmarkEnd w:id="8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technology has facilitated rapid growth and continues to support millions of transactions daily across multiple markets and regulatory jurisdictions. We believe our functionality and infrastructure to localize our products and services can meet heterogeneous and dynamic regional regulatory requirements and consumer needs while minimizing the impact on the user experience.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Solutions Group allows us to remain at the forefront of product innovation and continue to have scalable infrastructure to support our continued growth. This group is comprised of product development, research and development (including our blockchain innovation unit), product engineering, technology (including RegTech), security, brokerage solutions, business solutions (including M&amp;A related activities), product compliance, and trading development sub-groups.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research, develop, and launch new products and features intended to enrich and improve our users’ investing experience. We want to make our platform smarter and our user experience richer yet simpler. Our product development strategy centers on four areas: (1) growing and maintaining our status as a leading global brokerage, including expanding our local offerings and increasing the diversity of our range of assets, (2) continuing to add more investment tools, including leveraging AI and eToro data, (3) continuous improvement of our user experience and (4) enhancing our differentiated selling proposition by continuing to improve our social and copy features.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interact with our users every single day to gain insights into their needs. We have particularly close connections with our ‘power users’ from whom we regularly gather feedback. We research extensively to give users the best product we possibly can and harness the power of AI to process mass feedback from users.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conduct numerous A/B tests yearly to identify the best problem-solution fit. Our confidence stems from testing with users before writing a line of code. We do so by introducing experiences first on our acquired apps (Delta &amp; Bullsheet). We roll out every improvement carefully and monitor extensively, first internally.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invest in educating our users to excel in trading and investing. Significant feature releases adhere to our learning and adoption stack. The stack helps ensure that our users are aware of new features. We guide users through the process with a simple framework:</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present new features to our 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educate our users on how to use these effectively,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support users in integrating features into their trading and investing practices.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2019, we acquired Firmo, a smart contracts infrastructure provider. The former-Firmo team established our dedicated blockchain innovation unit which leads blockchain and smart contracts research and development within eToro, including the creation of our staking services. In addition, this unit works to establish connections between academia and the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our brand profile globally through our dynamic, multi-channel marketing strategy, which attracts, engages and retains users. With innovative products, leveraged through original marketing campaigns, we have continually pushed the frontiers of marketing in the traditional world of investing. This has been achieved by focusing on our social investing experience, our intuitive investment process, and our efforts to provide our users with the tools they need to grow their knowledge and wealth.</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campaigns have helped us achieve meaningful engagement with users and created greater understanding of our product offering, as demonstrated by research house Investment Trends, who reports that investors in multiple countries view eToro as “innovative.”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understand the importance of marketing and the valuable impact we have across the user journey and therefore invest heavily in channels which are fundamental to building brand loyalty and trust. Our sports sponsorship strategy includes multiple localized partnerships with football teams in the English Premier League, German Bundesliga, and French Ligue 1, and U.K. Premiership Rugby among others. We sponsor sports as the sense of community among sports fans is strongly aligned with our social features and online community.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from Investment Trends demonstrates the strength of our brand awareness in our key markets. We are ranked number one or two for brand awareness for trading in all of our seven key markets, and from two to nine for brand awareness among all online investors for investing.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Tailored content helps us manage multiple local investor communities on social media including on our social feed, Facebook, X and other social network accounts. These large and growing communities receive targeted local, market commentary from our team of analysts, alerts to bring awareness to market events and earnings releases and invitations to webinars and seminars hosted by Pro Investors, eToro analysts or guest speakers. We also partner with strategic brands such as X, BlackRock and Nasdaq on co-branding marketing activity aimed at providing the most timely, relevant, engaging and relatable content to our users and prospective users.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prospective and existing users are activated by our user acquisition engine which is primarily focused on online, technology-driven channels which allow us to continually optimize the performance of our marketing operation by leveraging the vast amount of data we have available. This involves a dedicated technology stack, coupled with strategic partnerships with digital advertising vendors such as Google, Facebook, X and Taboola to attract and convert users. We use dynamic tools to launch campaigns when a particular market or instrument generates investor interest. This use of technology and automation tools also works to drive conversion within our existing user base. Through customer relationship marketing and the use of Salesforce tools, our marketing team is able to segment communication to different parts of our user base. We are also leveraging AI across our marketing teams.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actively marketing in multiple countries with content in 20 languages. We work with an extensive network of media partners and affiliates. Our marketing includes activity across more than 30 global and local social media channels generating approximately two billion impressions in all of 2025. During this time period, our website received over 67 million unique visitors.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scale and breadth of our marketing operation is also reflected in the thousands of keywords implemented across numerous search engines, the millions of digital advert views delivered daily, our large network of media partners, and the fact that we monitor campaigns in multiple geographies, multiple languages, and multiple channels simultaneously and can adjust spend based on effectiveness.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pride ourselves on providing a high quality service to our users. As we have grown as a business, we have invested significantly in scaling our user-facing teams. We have also embraced technology, using AI to boost efficiency and aid localization, and leveraging data visualization tools to put relevant user data at the fingertips of our service team to enhance the user service experience.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user-facing teams include our customer service team which provides support via email, live chat and telephone in more than nine languages and our account management team, which provides personal service to our higher equity users. As of December 31, 2025, we employed or contracted with 455 user service representatives and 88 account managers and are continuing to invest in scaling and innovating our user support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Landscape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provides retail investors with opportunities for social collaboration and access to multiple different financial products, including copying another investor via our patented CopyTrader service, through a single platform. We are therefore distinctively positioned to compete as a result of the breadth of our product offerings and our existing global footprint.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global, multi-asset investment platform with a variety of offerings, we have a very diverse set of competitors including both large, traditional financial institutions including retail banks, private banks, wealth management and traditional brokers and smaller market participants who may operate in a regional capacity. Competition is highly fragmented, with multiple local market participants in each market in which we operate. However, we believe few investment platforms can rival our global reach or offer our social capabilities.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primarily compete with high growth fintech companies that are focused on user experience and provide a variety of financial services, as well as high growth international brokers and tech-led brokers that provide self-directed, multi-asset investment services.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our cryptoasset offerings, we also compete with exchanges, wallets and investment platforms that offer access to cryptoassets. However, competitors in this space tend to have a limited scope in terms of their capital market offerings.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the market continues to grow, we expect that we will face increased competition from both new entrants and existing players.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Risk Management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 robust, comprehensive risk management framework with both internal and external layers of defense at the eToro Group level and for our subsidiaries. The following committees report to our Enterprise Risk Management Committee which governs our risk appetite, risk strategy, risk mapping and policies and reports to our Board:</w:t>
      </w:r>
    </w:p>
    <w:p>
      <w:pPr>
        <w:spacing w:after="0" w:line="17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and Regulation Committee: </w:t>
      </w:r>
      <w:r>
        <w:rPr>
          <w:rFonts w:ascii="Times New Roman" w:cs="Times New Roman" w:eastAsia="Times New Roman" w:hAnsi="Times New Roman"/>
          <w:sz w:val="18"/>
          <w:szCs w:val="18"/>
          <w:color w:val="auto"/>
        </w:rPr>
        <w:t>in charge of our regulatory strategy, risk mapping and mitigation.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Regtech Solutions and Product Governance Committee: </w:t>
      </w:r>
      <w:r>
        <w:rPr>
          <w:rFonts w:ascii="Times New Roman" w:cs="Times New Roman" w:eastAsia="Times New Roman" w:hAnsi="Times New Roman"/>
          <w:sz w:val="18"/>
          <w:szCs w:val="18"/>
          <w:color w:val="auto"/>
        </w:rPr>
        <w:t>oversees our technology and alternative solutions for closing regulatory gaps.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Risk Committee: </w:t>
      </w:r>
      <w:r>
        <w:rPr>
          <w:rFonts w:ascii="Times New Roman" w:cs="Times New Roman" w:eastAsia="Times New Roman" w:hAnsi="Times New Roman"/>
          <w:sz w:val="18"/>
          <w:szCs w:val="18"/>
          <w:color w:val="auto"/>
        </w:rPr>
        <w:t>responsible for market and credit exposures and risks, stress scenarios and mitigation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Treasury Committee: </w:t>
      </w:r>
      <w:r>
        <w:rPr>
          <w:rFonts w:ascii="Times New Roman" w:cs="Times New Roman" w:eastAsia="Times New Roman" w:hAnsi="Times New Roman"/>
          <w:sz w:val="18"/>
          <w:szCs w:val="18"/>
          <w:color w:val="auto"/>
        </w:rPr>
        <w:t>governs treasury operations and risks, capital adequacy, liquidity and working capital requirements.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Operational Risk Committee: </w:t>
      </w:r>
      <w:r>
        <w:rPr>
          <w:rFonts w:ascii="Times New Roman" w:cs="Times New Roman" w:eastAsia="Times New Roman" w:hAnsi="Times New Roman"/>
          <w:sz w:val="18"/>
          <w:szCs w:val="18"/>
          <w:color w:val="auto"/>
        </w:rPr>
        <w:t>oversees counterparty due diligence, limit breach, fraud risk, client money issues and Sarbanes-Oxley compliance.</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Risk and Business Continuity Committee: </w:t>
      </w:r>
      <w:r>
        <w:rPr>
          <w:rFonts w:ascii="Times New Roman" w:cs="Times New Roman" w:eastAsia="Times New Roman" w:hAnsi="Times New Roman"/>
          <w:sz w:val="18"/>
          <w:szCs w:val="18"/>
          <w:color w:val="auto"/>
        </w:rPr>
        <w:t>manages our data and cyber risks and mitigation plans, business continuity and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plans and crypto custody risk management.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Diversity &amp; Inclusion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open the global markets so that everyone can trade and invest in a simple and transparent way. The word “everyone” is an important one. Since our founding in 2007, we set out to be disruptive, to shake up the world of investing and to break down barriers so that anyone can invest. We are proud to have over 3.81 million users as of December 31, 2025, however, our goal is to have a user audience and workforce which is inclusive and represents the populations of the countries in which we operate.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want to shatter gender stereotypes. While there is plenty of academic research to show that women make better investors, there is even more data to show that far fewer women invest than men. We are working to change that by creating a safe and supportive environment for women to connect, share experiences and ask questions.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cater for tomorrow’s investors, today. Our multi-generational approach to content creation ensures that each generation of investor feels welcome and supported. We connect newcomers with more experienced investors and provide content that speaks to our diverse audiences.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educating investors to promoting universal basic income (“UBI”), eToro uses its innovative leadership in the industry for good. Our vision is a world where everyone can invest in a simple and transparent way. Since our founding in 2007, this focus on making finance accessible to all has driven everything we do and inspired our vision and values. We are committed to making the world a better place, with efforts focused on three key areas where we believe we can make a difference: financial education, universal basic income, and corporate impact.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education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belief that knowledge is power is exemplified by our approach to financial education. Transforming investing and learning into a group effort allows members of our community to leverage shared knowledge and experience, so that we can become more successful, together. We have created an investment platform of millions, built around social collaboration and increasing education, with a vibrant, interactive community where users connect, share, and learn.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learn by doing. Our demo account empowers users to practice trading and investing and via our virtual portfolio, enabling them to gain confidence without risking any capital.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provide all our users with content that is accessible, relevant, engaging and educational. In addition, our social news feed provides a forum for our global community to come together to share insights and strategies, and to get exposure to investor sentiment in real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basic income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the World Economic Forum, 1.7 billion people in the world are unbanked, yet 1.1 billion of this group have smartphones. By leveraging the power of Web3 and DeFi, UBI initiatives can transform the role our own wealth plays as part of a larger capital ecosystem, creating sustainable wealth in some of the most impoverished places in the world.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funded the creation of GoodDollar, one of the largest UBI projects and communities in the world. Launched in 2020, it is a community-driven non-profit project which generates and distributes digital money as a means of creating access to wealth for those facing poverty and inequality. Anyone in the world can claim GoodDollar tokens (G$) as a daily UBI.</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Almost one million people from over 180 countries and territories have opened a GoodDollar digital wallet in order to claim UBI, with over 15,000 currently doing so daily. In a world of crypto hype, it is a distinct example of crypto making a positive impact. Countries which have seen the biggest adoption of GoodDollar include Brazil, Nigeria and Vietnam and surveys of members show that the majority of claimants have extremely low household incomes.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project is also creating communities in these countries while enabling people to improve their lives, from starting micro-businesses, to raising and donating funds to others in need. The crypto UBI generated from GoodDollar also acts as an ‘onramp’ to a larger, emerging world of decentralized financial services, which offers access to basic financial services such as savings, global payments, credit in a new model without middlemen.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GoodDollar economy is a circular economy with two groups of participants. On one end, there are claimants, people who want to receive UBI. On the other end, there are supporters, which can be organizations or individuals who wish to support the UBI cause and shape a more inclusive global economy. Supporters are able to use their crypto capital to support the funding of GoodDollars, a reserve-backed currency that is distributed daily as UBI. Supporters commit crypto capital into a blockchain-based income-generating mechanism called a DeFi protocol, via the GoodDollar website. The interest earned is used to mint new GoodDollars, which are then distributed as basic income every 24 hours to recipients, and also paid back to supporters. The more supporters and capital committed, the more UBI can be issued and distributed among claimants.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see GoodDollar as a crucial use-case for crypto. We have provided the funds to build something that is 100% open source, using technology and blockchain innovation to fund UBI as a public good. This is a new and innovative model for how corporate entities can support impact initiatives.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Corporate impact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make a positive impact in all the markets in which we operate. For example, with a commitment to our planet’s future we are setting goals for carbon reduction and carbon offsets. We also take pride in giving back to the communities in which we live and work. Our offices around the world run regular give-back and volunteer opportunities for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Human 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invest in our human capital and consider it to be one of our most valuable assets. As of December 31, 2025, we had 1,520 employees across over 10 offices globally, with employees also working remotely in certain areas where we don’t have physical offices. None of our employees are represented by labor unions or covered by collective bargaining agreements. We believe our relationship with our employees is generally good.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aim to attract, develop, promote and retain the talent we need to successfully serve our users and support the continued expansion of our business. Our employee compensation packages are based on both individual and company performance. The package encompasses an array of compensation components in addition to base pay, including performance-based incentive pay and a range of health and welfare benefits (including, but not limited to, recreational sessions and activities, team activities, company events and celebrations). See “Item 6. Directors, Senior Management and Employees— Compensation—Compensation of Directors and Senior Management.”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offer development and leadership programs as well as reimbursement for qualified business-related education and training, and we encourage learning and provide a wide array of online learning and development programs.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focus on attracting a diversity of talent and work to create and maintain an environment where all employees can excel. We foster the development of high-performance teams that recognize the value of diverse perspectives, skills and backgrounds. As of December 31, 2025, approximately 39% of our employees were women.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headquarters are located in Bnei Brak, Israel, where we lease approximately 86,000 square feet in a building and accommodate our principal executive, development, engineering, product, marketing, business development, human resources, finance, legal, IT and administrative activities. Outside of Israel, we lease office space in 12 offices around the world to serve the needs of our global user base in the U.K., Cyprus, Belgium, Germany, Denmark, the United States, Australia, Abu Dhabi, Singapore, Seychelles, Malta and Gibraltar.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offices are designed and maintained to foster a comfortable and creative workspace that encourages collaboration and social interaction. We currently have a remote work policy, under which a large segment of our employees are not required to come into the office on a daily basis, although since late 2023, most employees are expected to work in-office at least three days a week.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company that aims to revolutionize the way people invest, innovation is part of our DNA. We were founded to be disruptive and launching new and innovative products and offerings is a key aspect of how we plan to continue to democratize investing. This means that the protection of our technology and intellectual property is an important aspect of our business, enabling us to maintain a competitive edge in the rapidly evolving cryptoeconomy. We rely on a combination of patents, trademarks, trade secrets, confidentiality procedures, contractual commitments and other legal rights to establish and protect our intellectual property. However, these laws and contractual commitments may not fully protect our business and technology.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held two U.S.-issued patents and two Israeli-issued patents. One of our U.S.-issued patents expired in 2026 and the other one expires in 2031, and our Israeli-issued patents expire between 2032 and 2033.</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trademarks help us distinguish our products and services from those of our competitors and build brand loyalty among our users. As of December 31, 2025, we held 119 registered trademarks globally, including “eToro.” We are the authorized user of a variety of social media handles, pages and profiles that reflect our primary brand. In addition, we have a suite of defensively registered domains. The registrations of our trademarks are effective for varying periods of time and may be renewed periodically, so long as we comply with all applicable renewal requirements (including, where necessary, the continued use of the trademarks in the applicable jurisdictions in connection with certain goods and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4" w:name="page85"/>
    <w:bookmarkEnd w:id="8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our practice to enter into confidentiality, non-disclosure, and invention assignment agreements with our employees, consultants and contractors, and into confidentiality and non-disclosure agreements with other third parties, in order to limit access to, and disclosure and use of, our confidential information, trade secrets, know-how and proprietary technology. We further control the use of our intellectual property and proprietary technology through provisions in the terms and conditions governing our services. Additionally, we implement multiple layers of security, and access to our platforms and systems requires system usernames and passwords.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review our development efforts to assess the existence and patentability of new intellectual property that may be valuable to our business. We intend to continue to file additional patent applications with respect to our technology and trademark applications with respect to our brands, to the extent we believe it would be beneficial and cost effective to do so.</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Intellectual property laws, procedures, and restrictions provide only limited protection and any of our intellectual property rights may be challenged, invalidated, circumvented, infringed, or misappropriated. We actively monitor the market for potential infringement and take legal action when necessary to enforce our rights. Additionally, we work with external IP counsel to ensure comprehensive protection of our IP assets. Further, the laws of certain countries do not protect proprietary rights to the same extent as the laws of the United States, and, therefore, in certain jurisdictions, we may be unable to protect our proprietary technology.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intellectual property rights, we cannot be certain that the steps we have taken will be sufficient or effective to prevent the unauthorized access, use, copying, or the reverse engineering of our intellectual property and other proprietary technology, including by third parties who may use our technology or other proprietary information to develop services that compete with ours. Competitors may also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Successful claims of infringement by a third party could prevent us from offering certain products or features; require us to develop alternate, non-infringing technology, which could require significant time during which we could be unable to continue to offer our affected products or solutions; require us to obtain a license, which may not be available on reasonable terms or at all; or force us to pay substantial damages, royalties or other fees.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use OSS in our products and services and anticipate continuing to use OSS in the future. The terms of various open source licenses have not been interpreted by United States courts, and there is a risk that such licenses could be construed in a manner that imposes unanticipated obligations, conditions or restrictions on our services.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“Item 3.D. Risk Factors—Risks Related to Technology, Intellectual Property and Data Privacy” for a more comprehensive description of risks related to our intellectual property and proprietary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of Regulation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highly regulated global environment which does not have a unified approach to rules and regulations in respect of the products and services that we offer. Accordingly, we tailor our products and services to the regulatory requirements and limitations in the jurisdictions within which we operate. There may be separate and distinct laws, rules and regulations for individual products and services we offer within a specific jurisdiction as well as across jurisdictions. For example, in the U.K. and the E.U. the provision of investment services, e-money, payment services and cryptoassets are all subject to individualized legislative and regulatory frameworks with which we must comply on a law by law basis within each jurisdiction.</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our platform, users can trade leveraged and non-leveraged equities, futures, commodities, currencies and cryptoassets as the underlying asset or a derivative, depending on the asset class and on the user’s location. In connection with such services, we also provide our users in certain jurisdictions with the ability to trade utilizing our CopyTrader offering and to invest in a range of Smart Portfolios. See “—Platform Capabilities” herein. We also provide investment tools and services, including AI tools, charting and analysis tools, equity proxy voting services, and extended-hours trading. Our investment platform is built around social collaboration and we have created a community where users can view other investors’ portfolios and statistics, interact with them to exchange ideas, discuss strategies and benefit from shared knowledge. In addition to our trading and brokerage services, we also provide cryptoasset services in certain jurisdictions where we are able to do so in accordance with local laws, rules and regulations, including trading, custody, staking and hosted wallet services, non-custodial wallet, either directly or via a regulated third party. Our non-custodial wallet is also designed to provide users with access to third-party decentralized finance protocols and services, including decentralized exchanges and other blockchain-based applications; the regulatory treatment of intermediaries facilitating access to decentralized finance services is uncertain and evolving across jurisdictions. In certain jurisdictions, we also offer payment and electronic money services.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hold a number of financial regulatory licenses and registrations where we are required in order to offer our services in the markets in which we operate. These can be categorized as licenses and registrations for: (i) broker-dealer services, (ii) cryptoasset services and (iii) payment services and electronic money issuance. These licenses and registrations also include the ability to carry out relevant ancillary services, such as the custody of relevant cash and assets. Further details of our licenses and registrations are set out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ind w:left="8"/>
        <w:spacing w:after="0"/>
        <w:rPr>
          <w:sz w:val="20"/>
          <w:szCs w:val="20"/>
          <w:color w:val="auto"/>
        </w:rPr>
      </w:pPr>
      <w:r>
        <w:rPr>
          <w:rFonts w:ascii="Times New Roman" w:cs="Times New Roman" w:eastAsia="Times New Roman" w:hAnsi="Times New Roman"/>
          <w:sz w:val="18"/>
          <w:szCs w:val="18"/>
          <w:i w:val="1"/>
          <w:iCs w:val="1"/>
          <w:color w:val="auto"/>
        </w:rPr>
        <w:t>Entities with broker-dealer licenses:</w:t>
      </w:r>
    </w:p>
    <w:p>
      <w:pPr>
        <w:spacing w:after="0" w:line="227" w:lineRule="exact"/>
        <w:rPr>
          <w:sz w:val="20"/>
          <w:szCs w:val="20"/>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(UK) Limited is authorized and regulated as an investment firm in the U.K. by the FCA and has obtained a “passport” to provide services on a cross-border basis into Gibraltar;</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(Europe) Limited is authorized and regulated as an investment firm in Cyprus by CySEC, and has obtained “passports” allowing us to offer investment services on a cross-border basis across the E.U./EEA;</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USA Securities Inc. is registered in the United States with the SEC as a broker-dealer and is a member of FINRA;</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eToro AUS Capital Limited, as a broker-dealer, (ii) eToro Asset Management Limited, to provide financial product services and operate managed investment schemes and (iii) Spaceship Capital Limited, are each authorized and regulated in Australia by ASIC;</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(ME) Limited is authorized in the Abu Dhabi Global Market (the “ADGM”) by the Financial Services Regulatory Authority of Abu Dhabi Global Market as a broker for securities and derivatives;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(Seychelles) Limited is authorized and regulated in Seychelles by the Financial Services Authority Seychelles as a broker-dealer.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Singapore Pte. Ltd. is licensed under the Capital Markets Services Licence (“CMSL”) with the Monetary Authority of Singapore (“MAS”).</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Entities with cryptoasset services licenses and registrations:</w:t>
      </w:r>
    </w:p>
    <w:p>
      <w:pPr>
        <w:spacing w:after="0" w:line="227" w:lineRule="exact"/>
        <w:rPr>
          <w:sz w:val="20"/>
          <w:szCs w:val="20"/>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(Europe) Limited is (i) registered in Cyprus with CySEC as a cryptoasset service provider (CASP) superseded by the Markets in Crypto-Assets (MICA) Regulation to provide services related to cryptoassets;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(UK) Limited is registered in the U.K. with the FCA under the Money Laundering, Terrorist Financing and Transfer of Funds (Information on the Payer) Regulations 2017 for the provision of cryptoasset services;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(ME) Limited is authorized in the Abu Dhabi Global Market by the Financial Services Regulatory Authority of Abu Dhabi Global Market as a virtual assets service provider;</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AUS Capital Limited is registered in Australia with AUSTRAC as a digital currency provider;</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NY LLC holds a New York State Virtual Currency Business Activity License (commonly referred to as a “BitLicense”). However, this entity is not yet operational in New York;</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USA LLC holds a Louisiana Virtual Currency Business Activity License; and</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Entities with payment and electronic money services licenses:</w:t>
      </w:r>
    </w:p>
    <w:p>
      <w:pPr>
        <w:spacing w:after="0" w:line="227" w:lineRule="exact"/>
        <w:rPr>
          <w:sz w:val="20"/>
          <w:szCs w:val="20"/>
          <w:color w:val="auto"/>
        </w:rPr>
      </w:pPr>
    </w:p>
    <w:p>
      <w:pPr>
        <w:ind w:left="328"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UK Limited is authorized and regulated as an e-money institution to issue electronic money and provide payment services in the U.K. by the FCA;</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Malta Limited is authorized and regulated in Malta by the Malta Financial Services Authority as an e-money institution to issue electronic money and provide payment services and has obtained “passports” allowing us to offer e-money and payment services on a cross-border basis across the E.U./EEA;</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USA LLC, which (i) is registered as an MSB with FinCen in the United States and (ii) holds Money Transmitter Licenses in approximately 36 U.S. states and territories; and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NY LLC, which (i) is registered as an MSB with FinCen in the United States and (ii) holds a Money Transmitter License in the state of New York. eToro AUS Capital Limited, is authorized and regulated in Australia by ASIC, to provide AUD Account Services and additional Services, including issuing non-cash payment facilities</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Long Term Savings</w:t>
      </w:r>
    </w:p>
    <w:p>
      <w:pPr>
        <w:spacing w:after="0" w:line="225" w:lineRule="exact"/>
        <w:rPr>
          <w:sz w:val="20"/>
          <w:szCs w:val="20"/>
          <w:color w:val="auto"/>
        </w:rPr>
      </w:pPr>
    </w:p>
    <w:p>
      <w:pPr>
        <w:ind w:left="328" w:right="20" w:hanging="328"/>
        <w:spacing w:after="0" w:line="284"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Spaceship Capital Limited is authorized and regulated in Australia by ASIC to be the </w:t>
      </w:r>
      <w:r>
        <w:rPr>
          <w:rFonts w:ascii="Times New Roman" w:cs="Times New Roman" w:eastAsia="Times New Roman" w:hAnsi="Times New Roman"/>
          <w:sz w:val="18"/>
          <w:szCs w:val="18"/>
          <w:i w:val="1"/>
          <w:iCs w:val="1"/>
          <w:color w:val="auto"/>
        </w:rPr>
        <w:t>promoter of a superannuation product, a responsible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registered managed investment schemes and to facilitate trading in US market-listed equities.</w:t>
      </w:r>
    </w:p>
    <w:p>
      <w:pPr>
        <w:spacing w:after="0" w:line="158" w:lineRule="exact"/>
        <w:rPr>
          <w:rFonts w:ascii="Times New Roman" w:cs="Times New Roman" w:eastAsia="Times New Roman" w:hAnsi="Times New Roman"/>
          <w:sz w:val="18"/>
          <w:szCs w:val="18"/>
          <w:color w:val="auto"/>
        </w:rPr>
      </w:pPr>
    </w:p>
    <w:p>
      <w:pPr>
        <w:ind w:left="328" w:right="20" w:hanging="328"/>
        <w:spacing w:after="0" w:line="284"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eToro Patrimoine, </w:t>
      </w:r>
      <w:r>
        <w:rPr>
          <w:rFonts w:ascii="Times New Roman" w:cs="Times New Roman" w:eastAsia="Times New Roman" w:hAnsi="Times New Roman"/>
          <w:sz w:val="18"/>
          <w:szCs w:val="18"/>
          <w:color w:val="auto"/>
        </w:rPr>
        <w:t>acting as eToro Wealth,</w:t>
      </w:r>
      <w:r>
        <w:rPr>
          <w:rFonts w:ascii="Times New Roman" w:cs="Times New Roman" w:eastAsia="Times New Roman" w:hAnsi="Times New Roman"/>
          <w:sz w:val="18"/>
          <w:szCs w:val="18"/>
          <w:i w:val="1"/>
          <w:iCs w:val="1"/>
          <w:color w:val="auto"/>
        </w:rPr>
        <w:t xml:space="preserve"> is registered with ORIAS as an insurance broker, and registered as a financial investment advisor with the CNCIF, and as an association approved by the AMF</w:t>
      </w:r>
    </w:p>
    <w:p>
      <w:pPr>
        <w:spacing w:after="0" w:line="3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5"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i w:val="1"/>
          <w:iCs w:val="1"/>
          <w:color w:val="auto"/>
        </w:rPr>
        <w:t>Cross-border business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Where we market and provide services on a cross-border basis, we do so taking into account the license held by the relevant eToro entity providing the service, any relevant passport it holds, as well as legal advice from external counsel on the extent to which we can market and provide products and services on a cross-border basis without a local license, and any restrictions that might apply. In addition, we periodically refresh the legal advice obtained and conduct periodic counsel-led monitoring in the jurisdictions in which we market and/or provide services. This includes monitoring of actual or proposed changes to relevant laws or regulations and monitoring of applicable opinions and statements and enforcement actions by regulators or governmental authorities, that may affect our ability to market and/or provide services or products locally.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regulatory compliance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each of the jurisdictions where regulations apply to our operations, we and our competitors are required to comply with a range of regulatory requirements. See “Item 3.D. Risk Factors—Risks Related to Our Legal and Regulatory Environment—Our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 These regulatory requirements can broadly be grouped into the following key areas: governance, systems and controls; prudential; protecting user money and assets; conflicts of interest; financial crime; and conduct of business. We provide details below on the key principles underlying each compliance-related area. Overall, the way in which we operate our global business is driven by a desire to apply industry standards to all our products and services, protect customers and promote fair practices, and work openly with our users and regulators. There are, however, local nuances and requirements which means we adapt our approach locally in accordance with applicable regulations, which necessitates consideration of requirements with respect to specific activities (such as brokerage) or instruments (such as securities or derivatives). As an example, our conduct of business obligations to assess the suitability and appropriateness for certain of our services and products relates to complex products provided as part of our brokerage services (and not our payment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systems and controls</w:t>
      </w:r>
    </w:p>
    <w:p>
      <w:pPr>
        <w:spacing w:after="0" w:line="227" w:lineRule="exact"/>
        <w:rPr>
          <w:sz w:val="20"/>
          <w:szCs w:val="20"/>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Approach to governance</w:t>
      </w:r>
      <w:r>
        <w:rPr>
          <w:rFonts w:ascii="Times New Roman" w:cs="Times New Roman" w:eastAsia="Times New Roman" w:hAnsi="Times New Roman"/>
          <w:sz w:val="18"/>
          <w:szCs w:val="18"/>
          <w:color w:val="auto"/>
        </w:rPr>
        <w:t>: We are required to have robust governance arrangements, which include a clear organizational structure with well defined, transparent and consistent lines of responsibility, effective policies, procedures and processes to identify, manage, monitor and report the risks we are or might be exposed to. Members of staff must be and remain fit and proper persons for their roles, relationships between senior management and regulators must remain open and cooperative, and senior management are required to report to the relevant regulator any information relating to a regulated eToro entity that the regulator would reasonably expect to be aware 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Systems and controls</w:t>
      </w:r>
      <w:r>
        <w:rPr>
          <w:rFonts w:ascii="Times New Roman" w:cs="Times New Roman" w:eastAsia="Times New Roman" w:hAnsi="Times New Roman"/>
          <w:sz w:val="18"/>
          <w:szCs w:val="18"/>
          <w:color w:val="auto"/>
        </w:rPr>
        <w:t>: We must have in place appropriate supervision over the general conduct of our business, outsourcing arrangements, cybersecurity, and other technologies. We must also have in place and oversee effective systems and controls for compliance with applicable regulatory requirements and for countering the risk that the firm might be used to further financial crime.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management:</w:t>
      </w:r>
      <w:r>
        <w:rPr>
          <w:rFonts w:ascii="Times New Roman" w:cs="Times New Roman" w:eastAsia="Times New Roman" w:hAnsi="Times New Roman"/>
          <w:sz w:val="18"/>
          <w:szCs w:val="18"/>
          <w:color w:val="auto"/>
        </w:rPr>
        <w:t xml:space="preserve"> We are required to have a robust and comprehensive risk management framework for each regulated entity, which considers risks (including operational, counterparty and market risks) at both a subsidiary level and a group level.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reporting</w:t>
      </w:r>
      <w:r>
        <w:rPr>
          <w:rFonts w:ascii="Times New Roman" w:cs="Times New Roman" w:eastAsia="Times New Roman" w:hAnsi="Times New Roman"/>
          <w:sz w:val="18"/>
          <w:szCs w:val="18"/>
          <w:color w:val="auto"/>
        </w:rPr>
        <w:t>: We are required to provide both regular and ad hoc reports to our regulators, including in respect of transactions we execute for our users, annual accounts and reports, annual controllers reporting, client money and asset reports, market data reporting, product sales data reporting, remuneration data reporting, security and technology related reporting, tax reports, complaints reporting or events that could materially impact our business.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direct and indirect ownership of our regulated entities changes, and many jurisdictions require pre-approval from the local regulator prior to such change occurring. Different jurisdictions apply different control thresholds which must be met (generally starting at 10%) before pre-approval from a local regulator is required. In many of the regimes where we are regulated, it is a criminal offense to acquire or increase control without prior notification to the regulator.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GDPR/privacy</w:t>
      </w:r>
      <w:r>
        <w:rPr>
          <w:rFonts w:ascii="Times New Roman" w:cs="Times New Roman" w:eastAsia="Times New Roman" w:hAnsi="Times New Roman"/>
          <w:sz w:val="18"/>
          <w:szCs w:val="18"/>
          <w:color w:val="auto"/>
        </w:rPr>
        <w:t>: We are subject to laws and regulations with respect to the collection, processing, storage, sharing, disclosure, transfer, retention and use of personal information and other data of our users, employees or other third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Prudential</w:t>
      </w:r>
    </w:p>
    <w:p>
      <w:pPr>
        <w:spacing w:after="0" w:line="227"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and liquidity</w:t>
      </w:r>
      <w:r>
        <w:rPr>
          <w:rFonts w:ascii="Times New Roman" w:cs="Times New Roman" w:eastAsia="Times New Roman" w:hAnsi="Times New Roman"/>
          <w:sz w:val="18"/>
          <w:szCs w:val="18"/>
          <w:color w:val="auto"/>
        </w:rPr>
        <w:t>: We must maintain appropriate financial resources to meet regulatory capital requirements in accordance with the rules of the relevant jurisdiction. In line with regulatory requirements, each regulated entity must have sufficient liquidity to demonstrate they are able to meet liabilities as they fall due, to support business growth and objectives, and to hold appropriate buffers to withstand shocks.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Protecting user money and assets</w:t>
      </w:r>
    </w:p>
    <w:p>
      <w:pPr>
        <w:spacing w:after="0" w:line="22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w:t>
      </w:r>
      <w:r>
        <w:rPr>
          <w:rFonts w:ascii="Times New Roman" w:cs="Times New Roman" w:eastAsia="Times New Roman" w:hAnsi="Times New Roman"/>
          <w:sz w:val="18"/>
          <w:szCs w:val="18"/>
          <w:color w:val="auto"/>
        </w:rPr>
        <w:t>: We are required to hold our users’ money and assets in segregated accounts held at banks, custodians and brokers.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r>
        <w:rPr>
          <w:rFonts w:ascii="Times New Roman" w:cs="Times New Roman" w:eastAsia="Times New Roman" w:hAnsi="Times New Roman"/>
          <w:sz w:val="18"/>
          <w:szCs w:val="18"/>
          <w:color w:val="auto"/>
        </w:rPr>
        <w:t>: We are required to maintain records with respect to the money and assets which we hold for our users. Further, we are required to enter into contractual arrangements with third parties who hold our users’ money and assets in order to appropriately identify that the relevant accounts are held by them on behalf of our underlying users, and are therefore segregated from our own assets.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Reconciliations</w:t>
      </w:r>
      <w:r>
        <w:rPr>
          <w:rFonts w:ascii="Times New Roman" w:cs="Times New Roman" w:eastAsia="Times New Roman" w:hAnsi="Times New Roman"/>
          <w:sz w:val="18"/>
          <w:szCs w:val="18"/>
          <w:color w:val="auto"/>
        </w:rPr>
        <w:t>: Each regulated entity undertakes daily internal and external user money and assets reconciliations within an appropriate risk and control framework.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 and procedure</w:t>
      </w:r>
      <w:r>
        <w:rPr>
          <w:rFonts w:ascii="Times New Roman" w:cs="Times New Roman" w:eastAsia="Times New Roman" w:hAnsi="Times New Roman"/>
          <w:sz w:val="18"/>
          <w:szCs w:val="18"/>
          <w:color w:val="auto"/>
        </w:rPr>
        <w:t>: We are required to have in place appropriate frameworks (including policies and procedures) to mitigate and manage the conflicts that arise within our business. This includes that we have taken appropriate steps to identify and prevent or manage conflicts of interest between us (including any person directly or indirectly linked to us by control) and our users, intragroup, and between different users.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w:t>
      </w:r>
      <w:r>
        <w:rPr>
          <w:rFonts w:ascii="Times New Roman" w:cs="Times New Roman" w:eastAsia="Times New Roman" w:hAnsi="Times New Roman"/>
          <w:sz w:val="18"/>
          <w:szCs w:val="18"/>
          <w:color w:val="auto"/>
        </w:rPr>
        <w:t>: We disclose sufficient detail to our users on the nature and/or sources of conflicts and the steps taken to mitigate risks, to the extent our organizational arrangements to prevent conflicts are not sufficient to ensure with reasonable confidence that such risks will be prevented.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crime (including sanctions, fraud, KYC, AML, CTF, market abuse, and APF)</w:t>
      </w:r>
    </w:p>
    <w:p>
      <w:pPr>
        <w:spacing w:after="0" w:line="227" w:lineRule="exact"/>
        <w:rPr>
          <w:sz w:val="20"/>
          <w:szCs w:val="20"/>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User identification and verification</w:t>
      </w:r>
      <w:r>
        <w:rPr>
          <w:rFonts w:ascii="Times New Roman" w:cs="Times New Roman" w:eastAsia="Times New Roman" w:hAnsi="Times New Roman"/>
          <w:sz w:val="18"/>
          <w:szCs w:val="18"/>
          <w:color w:val="auto"/>
        </w:rPr>
        <w:t>: We are required to conduct user due diligence (KYC checks) prior to doing business with users (or within the permissible timeframe), ensure account and transaction information is kept up to date, implement effective financial crime policies and procedures, and monitor and report suspicious transactions to the applicable regulatory authorities. These requirements derive from a multitude of regulatory regimes in the jurisdictions in which we are regulated or operate in, including those related to sanctions, AML, market abuse, counter-terrorism financing and counter-proliferation financing.</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Our user identification obligations generally apply on an ongoing basis and we are therefore required to implement policies and procedures and systems and controls for collecting and verifying user identity information, and then to carry out ongoing monitoring activity throughout the lifecycle of our relationship with users.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to take action</w:t>
      </w:r>
      <w:r>
        <w:rPr>
          <w:rFonts w:ascii="Times New Roman" w:cs="Times New Roman" w:eastAsia="Times New Roman" w:hAnsi="Times New Roman"/>
          <w:sz w:val="18"/>
          <w:szCs w:val="18"/>
          <w:color w:val="auto"/>
        </w:rPr>
        <w:t>: The financial crime obligations to which we are subject require us to take action dependent on the circumstances. As examples, sanctions regulation may prevent us from entering into certain transactions with or for users. Separately, we are required to report suspicious transactions (for example, extraordinary payment receipts or instructions) or suspicious activity (for example, potential insider trading or market abuse with respect to listed instruments) to relevant authorities.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 and anti-bribery controls</w:t>
      </w:r>
      <w:r>
        <w:rPr>
          <w:rFonts w:ascii="Times New Roman" w:cs="Times New Roman" w:eastAsia="Times New Roman" w:hAnsi="Times New Roman"/>
          <w:sz w:val="18"/>
          <w:szCs w:val="18"/>
          <w:color w:val="auto"/>
        </w:rPr>
        <w:t>: We must have in place fraud, anti-bribery and corruption controls, including policies, procedures, and training designed to ensure compliance with applicable fraud, anti-corruption and anti-bribery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Conduct of business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Consumer protection</w:t>
      </w:r>
      <w:r>
        <w:rPr>
          <w:rFonts w:ascii="Times New Roman" w:cs="Times New Roman" w:eastAsia="Times New Roman" w:hAnsi="Times New Roman"/>
          <w:sz w:val="18"/>
          <w:szCs w:val="18"/>
          <w:color w:val="auto"/>
        </w:rPr>
        <w:t>: We are required to implement and maintain frameworks focused on protecting customers and promoting fair practices. Certain jurisdictions have moved or are moving towards “outcomes-based” regulation, whereby regulators assess compliance by reference to the outcomes achieved for retail clients. For example, in the U.K. there are established retail rules under the heading the “consumer duty.”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governance</w:t>
      </w:r>
      <w:r>
        <w:rPr>
          <w:rFonts w:ascii="Times New Roman" w:cs="Times New Roman" w:eastAsia="Times New Roman" w:hAnsi="Times New Roman"/>
          <w:sz w:val="18"/>
          <w:szCs w:val="18"/>
          <w:color w:val="auto"/>
        </w:rPr>
        <w:t>: In general, and noting jurisdictional divergence, regulations also require us to ensure that products and services (i) meet the needs of their identified target markets, (ii) are sold to users in the target market by appropriate distribution and marketing channels and</w:t>
      </w: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product which is suitable for a user’s investment needs and risk appetite.</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Appropriateness and suitability assessments in respect of our users, and enhanced disclosures</w:t>
      </w:r>
      <w:r>
        <w:rPr>
          <w:rFonts w:ascii="Times New Roman" w:cs="Times New Roman" w:eastAsia="Times New Roman" w:hAnsi="Times New Roman"/>
          <w:sz w:val="18"/>
          <w:szCs w:val="18"/>
          <w:color w:val="auto"/>
        </w:rPr>
        <w:t>: In general, and noting jurisdictional divergence, regulations related to our products and services require us to (i) assess the knowledge and experience of our users if they wish to trade certain products or participate in a certain service, (ii) independently evaluate which instruments or services should be made available to them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60" w:lineRule="auto"/>
        <w:tabs>
          <w:tab w:leader="none" w:pos="9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whether we need to provide educational materials and/or risk warnings before trading can be carried out. We may also be subject to requirements to assess suitability. These considerations may be influenced by the categorization of the client, for example as retail or professional.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w:t>
      </w:r>
      <w:r>
        <w:rPr>
          <w:rFonts w:ascii="Times New Roman" w:cs="Times New Roman" w:eastAsia="Times New Roman" w:hAnsi="Times New Roman"/>
          <w:sz w:val="18"/>
          <w:szCs w:val="18"/>
          <w:color w:val="auto"/>
        </w:rPr>
        <w:t>: We are required to ensure that our marketing communications are fair, clear and not misleading. We are required to comply with detailed obligations in a number of jurisdictions in relation to the presentation and contents of marketing communications, which differ dependent on the service and/or product we are marketing and often require prescribed risk warnings.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Complaints handling</w:t>
      </w:r>
      <w:r>
        <w:rPr>
          <w:rFonts w:ascii="Times New Roman" w:cs="Times New Roman" w:eastAsia="Times New Roman" w:hAnsi="Times New Roman"/>
          <w:sz w:val="18"/>
          <w:szCs w:val="18"/>
          <w:color w:val="auto"/>
        </w:rPr>
        <w:t>: We have in place systems for dealing with and recording user complaints. Retail users may also have access to regulatory complaint schemes and investor protection schemes (such as the U.K. Financial Ombudsman Service, the Financial Ombudsman of the Republic of Cyprus, the Australian Financial Complaints Authority or the Australian Financial Ombudsman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product-specific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general regulatory considerations, we consider specific rules that apply to certain of our products and services, as set out below. As mentioned above, whilst the following product-specific regulations may apply differently in each of the jurisdictions in which we operate, we still strive to apply industry level standards in every jurisdiction in which we offer our products. We believe we should work transparently with regulators to ensure that they understand the innovation we bring to their markets and, even where there are no regulations related to a specific products in a given jurisdiction, we take into account the relevant regulator’s views in tailoring our product offering to the applicable regulation.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approach taken by regulators to equities is largely similar across the material jurisdictions where we are regulated or otherwise do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nonetheless monitor and respond to changes in each jurisdiction and the regulatory environments in which we operate.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financial products and derivatives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number of our regulators focus on firms offering complex investment products and derivatives (including margin stocks, futures and contracts for difference) to our users. For example, with respect to contracts for difference, most of the regulatory regimes applicable to us, have restricted the leverage that can be offered to our users, impose mandatory close out limits on open trades, negative balance protections and prescriptive risk warnings, and banned financial promotions incentivizing trading.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and e-money services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need to consider regulations relating to payment services and e-money issuance services in various jurisdictions where we provide such services, including in the U.K. and Malta. Some of the key bespoke requirements with respect to such services relate to the way in which we safeguard client funds, and the requirements with respect to the provision of information to our users.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Cryptoasset services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Since (i) cryptoassets are an emerging type of asset class and (ii) individual cryptoassets differ from each other in both structure and regulatory status, the approach taken by regulators to their regulatory status continues to evolve. Certain cryptoassets may not be regulated assets in certain jurisdictions. In the European Union, the Markets in Crypto-Assets Regulation (MiCA), which became fully applicable in December 2024, establishes a comprehensive framework for the regulation of cryptoasset service providers, including requirements relating to authorization, governance, capital adequacy, custody, and conduct of business. Our European entity, eToro (Europe) Limited, is authorized under MiCA to provide cryptoasset services across the E.U./EEA. In the United States, the regulatory framework for cryptoassets remains fragmented, with the SEC, CFTC, FinCEN, and state regulators each asserting jurisdiction over different aspects of cryptoasset activity. We operate our U.S. cryptoasset services through eToro USA LLC, which holds money transmitter licenses in approximately 39 states and territories and is registered as a money services business with FinCEN, and eToro NY LLC, which holds a BitLicense in New York. We also provide staking services for certain proof-of-stake cryptoassets in jurisdictions where we are authorized to do so. The regulatory treatment of staking varies across jurisdictions, and staking services may be classified as securities offerings, collective investment schemes, or other regulated financial products in certain jurisdictions, which could restrict our ability to offer such services. Our non-custodial wallet enables users to hold, transfer, and interact with cryptoassets and, in certain jurisdictions, to access third-party decentralized finance protocols. The regulatory treatment of non-custodial wallet providers and intermediaries facilitating access to decentralized finance services is uncertain and actively evolving, and could result in additional licensing, conduct, or disclosure obligations. See “Item 3.D. Risk Factors—Risks Related to Cryptoassets and Cryptoasset Markets.”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Social investing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various laws, rules and regulations as they relate to social investing, including with respect to our CopyTrader and Smart Portfolio offerings, which affect how our users interact with each other via our platform. We are required to comply with MiFID II in the EU, and equivalent regulatory frameworks established globally, aspects of which relate to investor protection requirements which we must implement through measures such as “suitability” assessments. While the regulatory environment for social investing is still evolving, regulatory bodies have published guidance incrementally over the past few years to help firms understand their supervisory expectations with respect to social investing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incoming regulatory requirements which are likely to impact our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fraud, AML/CTF, anti-bribery and corruption</w:t>
      </w:r>
      <w:r>
        <w:rPr>
          <w:rFonts w:ascii="Times New Roman" w:cs="Times New Roman" w:eastAsia="Times New Roman" w:hAnsi="Times New Roman"/>
          <w:sz w:val="18"/>
          <w:szCs w:val="18"/>
          <w:color w:val="auto"/>
        </w:rPr>
        <w:t>: eToro group entities in the E.U. will be subject to revised AML requirements which are expected to take full effect in 2027. It is expected that customer due diligence requirements will be clarified and/or enhanced.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Artificial intelligence systems</w:t>
      </w:r>
      <w:r>
        <w:rPr>
          <w:rFonts w:ascii="Times New Roman" w:cs="Times New Roman" w:eastAsia="Times New Roman" w:hAnsi="Times New Roman"/>
          <w:sz w:val="18"/>
          <w:szCs w:val="18"/>
          <w:color w:val="auto"/>
        </w:rPr>
        <w:t>: We have integrated artificial intelligence and machine learning technologies across our platform, including in product development, customer personalization, portfolio analytics, risk assessment, and trading decision support. Our AI-powered features include an AI-based investment assistant and we are developing a marketplace and public API ecosystem that would enable third-party developers and users to build, share, and deploy automated trading strategies and analytical tools on our platform. Our reliance on AI across operations and customer-facing features is significant and increasing. The E.U. has adopted the E.U. AI Act, which applies a risk-based framework to regulate AI systems in a phased manner. Depending on how our AI-driven features are classified under the AI Act and related financial services regulations, including MiFID II suitability requirements in the E.U., Regulation Best Interest in the United States, and the FCA’s Consumer Duty framework in the U.K., we may be required to implement additional safeguards, explainability and transparency requirements, human oversight mechanisms, and conduct-of-business controls in connection with AI-powered features. The U.K. is also developing new rules and guidance related to AI in financial services, which may diverge from the E.U.’s framework and require us to maintain parallel compliance programs across jurisdictions. Our eToro regulated entities in Europe have implemented safeguards to ensure AI systems operate in a compliant, ethical, and non-discriminatory manner, but there can be no assurance that our current measures will satisfy all requirements as the regulatory landscape for AI in financial services continues to evolve rapidly across multiple jurisdictions.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of payment services and e-money issuance</w:t>
      </w:r>
      <w:r>
        <w:rPr>
          <w:rFonts w:ascii="Times New Roman" w:cs="Times New Roman" w:eastAsia="Times New Roman" w:hAnsi="Times New Roman"/>
          <w:sz w:val="18"/>
          <w:szCs w:val="18"/>
          <w:color w:val="auto"/>
        </w:rPr>
        <w:t>: The Payment Services Directive (“PSD 3”) with the aim to combine the e-money regulatory regime and payment services regime into one regime, will require us to resubmit the Malta e-money license and may impose additional regulatory requirements and liabilities. In the U.K., a new safeguarding, governance and audit regime for payments and e-money firms, will come into effect in May 2026.</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Cryptoassets:</w:t>
      </w:r>
      <w:r>
        <w:rPr>
          <w:rFonts w:ascii="Times New Roman" w:cs="Times New Roman" w:eastAsia="Times New Roman" w:hAnsi="Times New Roman"/>
          <w:sz w:val="18"/>
          <w:szCs w:val="18"/>
          <w:color w:val="auto"/>
        </w:rPr>
        <w:t xml:space="preserve"> The U.K. is developing a new regulatory regime for cryptoasset activities, which is expected to come into effect in October 2027. eToro group entities will need to be authorised by the FCA under FSMA in order to be able to undertake the regulated cryptoasset activities at the point the new regime commences. Those entities will need to comply with a suite of rules under the new regulatory regime, including governance, market structure and conduct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&amp; Security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collects, stores, shares, discloses, transfers, uses and otherwise processes the personal information of individuals in many jurisdictions, including across the United States. As a result, compliance with state, federal and international data protection, privacy and security laws, rules, regulations, policies, industry standards and other legal obligations regulating the collection, storage, sharing, disclosure, transfer, use, protection and other processing of personal information is integral to the creation of trust in our platform. We are also legally obligated by certain laws to provide and comply with privacy policies and are subject to contractual obligations to third parties related to privacy, data protection and cybersecurity.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collect and process personal information related to our website visitors, users, potential users, subscribers, employees, contractors, business partners and vendors, such as names, addresses, demographic data, government-issued identification numbers, online identifiers, and financial information, and with respect to employees, health information and demographic data for purposes of workplace accommodations, diversity initiatives, and regulatory reporting requirements. We may also obtain personal information from third-party sources, such as lead generation campaigns. We face risks, including to our reputation, business operations and financial condition, in the handling and protection of this personal data, and these risks are likely to increase as our business continues to expand.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various federal and state laws and regulations apply to the collection, processing, disclosure and security of personal information. For example, the CCPA broadly defines personal information, gives California residents certain privacy rights and protections, and includes a private right of action for certain data breaches. Other states have also adopted data privacy laws, some of which have already gone into effect. Overall, these state laws impose obligations on us, increase our costs of privacy compliance and pose regulatory and other legal risk.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0" w:name="page91"/>
    <w:bookmarkEnd w:id="9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additional states could also adopt data privacy legislation, which may include more stringent data privacy requirements.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Federal Trade Commission and certain state attorneys general are interpreting federal and state consumer protection laws as imposing standards for the online collection, use, dissemination, and security of data. Moreover, we are subject to the GLBA and other federal privacy laws such as CAN-SPAM that impose various obligations related to personal information and certain marketing activities. Changes in the laws and regulations that govern our collection, use, and disclosure of personal information could impose additional requirements with respect to the retention and security of personal information, could limit our marketing activities, and have an adverse effect on our business, financial condition, cash flows and results of operations.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Regulators around the world also continue to propose more stringent data protection, security and privacy laws, rules and regulations, and these laws, rules and regulations are rapidly increasing in number, complexity, enforcement, fines and penalties. For example, the E.U. GDPR requires companies to meet certain requirements regarding the handling of personal data, including our use and protection, and to provide data subjects the ability to exercise certain rights in relation to their personal data. Failure to meet GDPR requirements could result in penalties of up to €20 million (under the E.U. GDPR) or £17.5 million (under the U.K. GDPR) or 4% of our worldwide net trading income, whichever is greater. Such penalties are in addition to any civil litigation claims by customers and data subjects. Since we are subject to the supervision of relevant data protection authorities under both the E.U. GDPR and U.K. GDPR, we could be fined and subject to enforcement actions under those regimes independently in respect of the same breach. The GDPR requirements also apply transfers of personal information that are subject to the GDPR outside of the European Union (in the case of the E.U. GDPR) and U.K. (in the case of the U.K. GDPR) to a country not approved by the European Union as providing an adequate level of protection for the processing of personal information. These cross-border transfers include data sharing between us and our subsidiaries, including employee information.</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50 U.S. states also have laws relating to notifications to individuals for security breaches impacting personal information, and in some cases to state officials and others. In the event of a data breach or other unauthorized access to our user data, depending on the nature of the information compromised,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Complying with these obligations could cause us to incur substantial costs and could increase negative publicity surrounding any incident that compromises user data. Additionally,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financial condition, cash flows and results of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and other data protection, security and privacy laws, rules and regulations and their interpretations continue to develop and may be inconsistent from jurisdiction to jurisdiction. Non-compliance (or perceived non-compliance) with these laws could result in significant legal costs as well as penalties or legal liability. We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Furthermore, we may be required to disclose personal information pursuant to demands from individuals, regulators, government agencies, and law enforcement agencies in various jurisdictions with conflicting privacy and security laws, which could result in a breach of privacy and data protection policies, notices, laws, rules, court orders, and regulations.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financial condition, cash flows and results of operations. See “Risk Factors—Risks Related to Our Legal and Regulatory Environment” for more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ASIC Proceedings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2023, ASIC commenced proceedings against our subsidiary, eToro AUS Capital Ltd., alleging that it contravened Australia’s law requiring financial institutions to adopt, implement and monitor a target market determination for complex products. ASIC is seeking, among other forms of relief, pecuniary penalties as the court determines to be appropriate. The proceedings are ongoing and the outcome could have adverse impacts on our financial position and reputation in Australia, as well as the potential for a class action lawsuit.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8.A. Consolidated Statements and Other Financial Information—Legal Proceedings.”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legal name of our Company is eToro Group Ltd., and we are organized under the laws of the British Virgin Islands (“BVI”).</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significant subsidiaries, all of which are 100% owned directly or indirectly by eToro Group Ltd.: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Asset Management Limited</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AUS Capital Pty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(Europe)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Cyprus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Group Trading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(ME)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 of Abu Dhabi</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Money Malta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Malta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Money UK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(Seychelles)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Seychelles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(UK)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USA LLC</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Sates (Delaware)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eToro USA Securities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X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Gibraltar</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Spaceship Capital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Singapore Pte.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4.B. Business Overview—Properties” for a discussion of property, plant and equipment,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the related notes contained elsewhere in this annual report. This discussion and analysis may contain forward-looking statements based upon current expectations that involve risks and uncertainties. Our actual results may differ materially from those anticipated in these forward-looking statements as a result of various factors, including those set forth in “Item 3.D. Risk Factors” of this annual report. Our financial statements have been prepared in accordance with IFRS.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mission is to open the global markets, connect our users to leading investors, and give them the tools they need to grow their knowledge and wealth.</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eToro was founded in 2007 with the vision of a world where everyone can trade and invest in a simple and transparent way. We have created an investment platform built around collaboration and investor education. 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3.81 million Funded Accounts across our global footprint of 75 countries. We have built a globally recognized brand, ranking highly for brand awareness in the U.K., Europe, UAE and Australia. We also have a presence and intent to continue growing within Asia Pacific and the Americas, including the United States.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our platform, users can trade equities, commodities, currencies and cryptoassets, traded as the underlying asset or a derivative, depending on the asset class and on the user’s location. We encourage our users to take a diversified approach to investing through our curated content and by offering an increasingly wide range of investment opportunities. We also offer our users a choice of how to invest. Users can trade directly themselves, invest in a portfolio or replicate the investment strategy of other investors on our platform. eToro Money, our money management offering, enables users to make deposits, withdrawals and trade local stocks in local currencies. We also provide many valuable investment tools and services, including sophisticated charting and analysis tools and extended-hours trading. Over time, we expect to continue to grow our userbase and deepen their engagement with our platform through our social community and our global, diversified, multi-asset products and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22"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Multifaceted Sources of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revenue through a multifaceted model consisting of (1) trading income, (2) interest income, (3) money management fees and (4) other value-added products and services.</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Trading income. </w:t>
      </w:r>
      <w:r>
        <w:rPr>
          <w:rFonts w:ascii="Times New Roman" w:cs="Times New Roman" w:eastAsia="Times New Roman" w:hAnsi="Times New Roman"/>
          <w:sz w:val="18"/>
          <w:szCs w:val="18"/>
          <w:color w:val="auto"/>
        </w:rPr>
        <w:t>We generate trading income as users open and close trading positions across a range of asset classes. We charge a fee on top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spread on certain trades (the difference between the bid and ask price of a given asset or derivative) and the fee is charged, collected and recognized every time we execute a trade on behalf of a user.</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We generate interest income primarily through charging margin interest and from interest generated on users’ uninvested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cash holdings. Margin interest is the interest that we charge on margin positions, either leveraged or short, that remain open overnight. Additionally, we primarily hold users’ uninvested funds and our corporate cash holdings in interest-bearing bank deposits and qualified money market funds.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Money management fees. </w:t>
      </w:r>
      <w:r>
        <w:rPr>
          <w:rFonts w:ascii="Times New Roman" w:cs="Times New Roman" w:eastAsia="Times New Roman" w:hAnsi="Times New Roman"/>
          <w:sz w:val="18"/>
          <w:szCs w:val="18"/>
          <w:color w:val="auto"/>
        </w:rPr>
        <w:t>We generate money management fees from our eToro Money offering including currency conversions, withdrawals, transfers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cryptoassets, fees relating to our cryptoasset wallet services and interchange fees on our debit card. These fees are transactional in nature and align with users’ trading and spending activities. For example, currency conversion fees apply when users deposit in non-U.S. dollar currencies to fund their U.S. dollar account and when users trade U.S. dollar-denominated stocks from their non-U.S. dollar local currency accounts.</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value-added products and services. </w:t>
      </w:r>
      <w:r>
        <w:rPr>
          <w:rFonts w:ascii="Times New Roman" w:cs="Times New Roman" w:eastAsia="Times New Roman" w:hAnsi="Times New Roman"/>
          <w:sz w:val="18"/>
          <w:szCs w:val="18"/>
          <w:color w:val="auto"/>
        </w:rPr>
        <w:t>Other value-added product services include those which produce subscription fees, account dormancy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distributions from blockchain rewards, other ancillary services.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Diverse Model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multifaceted revenue sources result in a highly diversified model that has helped to stabilize our financial performance through past market cycles. The following chart presenting our Net Contribution by Components, a key performance metric, underscores our broad revenue diversification over the past twelve quarters. For additional information about Net Contribution by Components, see “Key Performance Metrics—Net Contribution by Components”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Contribution by Components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156845</wp:posOffset>
            </wp:positionV>
            <wp:extent cx="5829300" cy="27603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revenue model is positively impacted by our broad, multi-asset product offering that has historically provided a natural hedge against periods of heightened or depressed trading levels within any given asset class. The distribution of these commissions by asset class in a given period varies based on market conditions and investor sentiment. The following chart presents the asset composition of our commission from trading activities for the past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Composition of Commission from Trading Activities by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156845</wp:posOffset>
            </wp:positionV>
            <wp:extent cx="5829300" cy="2494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Contribution and Components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 Net Contribution to evaluate the net contributions of our users’ activity on our platform before considering the overhead costs associated with our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Contribution is comprised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Trading Contribution (Equities, Commodities and Currencies) </w:t>
      </w:r>
      <w:r>
        <w:rPr>
          <w:rFonts w:ascii="Times New Roman" w:cs="Times New Roman" w:eastAsia="Times New Roman" w:hAnsi="Times New Roman"/>
          <w:sz w:val="18"/>
          <w:szCs w:val="18"/>
          <w:color w:val="auto"/>
        </w:rPr>
        <w:t>is equal to our Net trading income from equities, commodities and currencies.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Trading Contribution (Cryptoassets) </w:t>
      </w:r>
      <w:r>
        <w:rPr>
          <w:rFonts w:ascii="Times New Roman" w:cs="Times New Roman" w:eastAsia="Times New Roman" w:hAnsi="Times New Roman"/>
          <w:sz w:val="18"/>
          <w:szCs w:val="18"/>
          <w:color w:val="auto"/>
        </w:rPr>
        <w:t>is equal to Revenue from cryptoassets plus Net trading income (loss) from cryptoasset derivatives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revenue from cryptoassets, excluding the net contributions from staking activity and blockchain rewards, which are net commissions generated from Net Interest Contribution and Subscriptions and Other,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ind w:left="660" w:hanging="328"/>
        <w:spacing w:after="0" w:line="28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Interest Contribution </w:t>
      </w:r>
      <w:r>
        <w:rPr>
          <w:rFonts w:ascii="Times New Roman" w:cs="Times New Roman" w:eastAsia="Times New Roman" w:hAnsi="Times New Roman"/>
          <w:sz w:val="18"/>
          <w:szCs w:val="18"/>
          <w:color w:val="auto"/>
        </w:rPr>
        <w:t>represents Net interest income from users plus Other interest income plus the net contributions of staking activity,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interest expense.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eToro Money </w:t>
      </w:r>
      <w:r>
        <w:rPr>
          <w:rFonts w:ascii="Times New Roman" w:cs="Times New Roman" w:eastAsia="Times New Roman" w:hAnsi="Times New Roman"/>
          <w:sz w:val="18"/>
          <w:szCs w:val="18"/>
          <w:color w:val="auto"/>
        </w:rPr>
        <w:t>comprises the vast majority of our Currency conversion and other income. It represents the income earned from our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including currency conversions, withdrawals, interchange on our debit card, transfers of cryptoassets, and fees relating to our cryptoasset wallet services.</w:t>
      </w:r>
    </w:p>
    <w:p>
      <w:pPr>
        <w:spacing w:after="0" w:line="17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Subscriptions and Other </w:t>
      </w:r>
      <w:r>
        <w:rPr>
          <w:rFonts w:ascii="Times New Roman" w:cs="Times New Roman" w:eastAsia="Times New Roman" w:hAnsi="Times New Roman"/>
          <w:sz w:val="18"/>
          <w:szCs w:val="18"/>
          <w:color w:val="auto"/>
        </w:rPr>
        <w:t>are the remainder of Currency conversion and other income not attributable to eToro Money plus the net contributions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blockchain rewards.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Contribution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For the Quarter Ended</w:t>
            </w: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4"/>
              </w:rPr>
              <w:t>Mar. 31,</w:t>
            </w:r>
          </w:p>
        </w:tc>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7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8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7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7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9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Trading</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Contribution (Equities,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Commodities and</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Currencies)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Trading</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(Cryptoassets)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Interest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eToro Money</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 and other</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Contribution</w:t>
            </w: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Funded Accounts are users who have completed KYC, AML and other onboarding processes, activated their account, deposited funds, executed at least one trade at any time and have a positive account balance (invested or uninvested). Funded Accounts represent the deepest level of our user acquisition funnel and are the users from whom we generate Net Contribution.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total number of Funded Accounts has steadily increased as we have invested in acquiring users into our funnel, converting them into users that fund their account and execute a trade on our platform, and focused on maintaining their engagement in order to retain their business. The breadth of our product offering enables us to attract and retain users globally as more retail investors engage with global markets.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Quarter Ended</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4"/>
              </w:rPr>
              <w:t>Mar. 31,</w:t>
            </w:r>
          </w:p>
        </w:tc>
        <w:tc>
          <w:tcPr>
            <w:tcW w:w="78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5"/>
              </w:rPr>
              <w:t>Jun. 30,</w:t>
            </w:r>
          </w:p>
        </w:tc>
        <w:tc>
          <w:tcPr>
            <w:tcW w:w="8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Sep. 30,</w:t>
            </w:r>
          </w:p>
        </w:tc>
        <w:tc>
          <w:tcPr>
            <w:tcW w:w="70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92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80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8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Sep. 30,</w:t>
            </w:r>
          </w:p>
        </w:tc>
        <w:tc>
          <w:tcPr>
            <w:tcW w:w="70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 31,</w:t>
            </w:r>
          </w:p>
        </w:tc>
        <w:tc>
          <w:tcPr>
            <w:tcW w:w="92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Mar. 31,</w:t>
            </w:r>
          </w:p>
        </w:tc>
        <w:tc>
          <w:tcPr>
            <w:tcW w:w="8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5"/>
              </w:rPr>
              <w:t>Jun. 30,</w:t>
            </w:r>
          </w:p>
        </w:tc>
        <w:tc>
          <w:tcPr>
            <w:tcW w:w="80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Sep. 30,</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00" w:type="dxa"/>
            <w:vAlign w:val="bottom"/>
          </w:tcPr>
          <w:p>
            <w:pPr>
              <w:spacing w:after="0"/>
              <w:rPr>
                <w:sz w:val="16"/>
                <w:szCs w:val="16"/>
                <w:color w:val="auto"/>
              </w:rPr>
            </w:pPr>
          </w:p>
        </w:tc>
      </w:tr>
      <w:tr>
        <w:trPr>
          <w:trHeight w:val="245"/>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Accounts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Trades and Net Trading Contribution Per Trade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Trades represent the total number of orders that were placed by users and executed by us during the applicable period. Trades include self-directed and copy trades, and each trade reflects either the opening or closing of a position by a user. Net Trading Contribution per Trade consists of Net Trading Contribution (equities, commodities and currencies) and Net Trading Contribution (Cryptoassets) divided by their respective number of trades. We separate trades and Net Trading Contribution per Trade between cryptoassets and traditional assets to help isolate trends, due to the distinct characteristics that drive trading activity between the two types of assets. Cryptoassets exhibit highly varying spreads based on the relative liquidity of the asset traded, and depending on investor preferences, our Net Trading Contribution per Trade (Cryptoassets) can also vary significantly.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several external factors that contribute to changes in trading activity, including, but not limited to, retail investors’ interest in capital markets and in particular asset classes, as well as changes in broader market sentiment. While we have experienced periods of high and low trading activity driven by rising or declining retail investor interest in certain asset classes, the diversity of assets on our platform provides a natural hedge against lower trading activity in any one particular asset.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users executed 594 million trades, up from 571 million trades and up from 446 million trades for the same periods in 2024 and 2023, respectively. Of these trades, 537 million trades were in equities, commodities and currencies, up from 507 million and up from 415 million for the same periods in 2024 and 2023, respectively, and 57 million trades were in cryptoassets, down from 64 million and up from 31 million for the same periods in 2024 and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Trades &amp; Net Trading Contribution per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For the Quarter Ended</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8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6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8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6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4"/>
              </w:rPr>
              <w:t>Mar. 31,</w:t>
            </w:r>
          </w:p>
        </w:tc>
        <w:tc>
          <w:tcPr>
            <w:tcW w:w="160" w:type="dxa"/>
            <w:vAlign w:val="bottom"/>
          </w:tcPr>
          <w:p>
            <w:pPr>
              <w:spacing w:after="0"/>
              <w:rPr>
                <w:sz w:val="16"/>
                <w:szCs w:val="16"/>
                <w:color w:val="auto"/>
              </w:rPr>
            </w:pPr>
          </w:p>
        </w:tc>
        <w:tc>
          <w:tcPr>
            <w:tcW w:w="7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9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0" w:type="dxa"/>
            <w:vAlign w:val="bottom"/>
          </w:tcPr>
          <w:p>
            <w:pPr>
              <w:spacing w:after="0"/>
              <w:rPr>
                <w:sz w:val="16"/>
                <w:szCs w:val="16"/>
                <w:color w:val="auto"/>
              </w:rPr>
            </w:pPr>
          </w:p>
        </w:tc>
        <w:tc>
          <w:tcPr>
            <w:tcW w:w="8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 31,</w:t>
            </w:r>
          </w:p>
        </w:tc>
        <w:tc>
          <w:tcPr>
            <w:tcW w:w="80" w:type="dxa"/>
            <w:vAlign w:val="bottom"/>
          </w:tcPr>
          <w:p>
            <w:pPr>
              <w:spacing w:after="0"/>
              <w:rPr>
                <w:sz w:val="16"/>
                <w:szCs w:val="16"/>
                <w:color w:val="auto"/>
              </w:rPr>
            </w:pPr>
          </w:p>
        </w:tc>
      </w:tr>
      <w:tr>
        <w:trPr>
          <w:trHeight w:val="245"/>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trade values)</w:t>
            </w:r>
          </w:p>
        </w:tc>
        <w:tc>
          <w:tcPr>
            <w:tcW w:w="1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r>
      <w:tr>
        <w:trPr>
          <w:trHeight w:val="198"/>
        </w:trPr>
        <w:tc>
          <w:tcPr>
            <w:tcW w:w="1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trades (equities,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commodities)</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0"/>
                <w:szCs w:val="20"/>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Trading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per trade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currencies, and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commodities)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94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76</w:t>
            </w:r>
          </w:p>
        </w:tc>
        <w:tc>
          <w:tcPr>
            <w:tcW w:w="80" w:type="dxa"/>
            <w:vAlign w:val="bottom"/>
          </w:tcPr>
          <w:p>
            <w:pPr>
              <w:spacing w:after="0"/>
              <w:rPr>
                <w:sz w:val="22"/>
                <w:szCs w:val="22"/>
                <w:color w:val="auto"/>
              </w:rPr>
            </w:pPr>
          </w:p>
        </w:tc>
      </w:tr>
      <w:tr>
        <w:trPr>
          <w:trHeight w:val="184"/>
        </w:trPr>
        <w:tc>
          <w:tcPr>
            <w:tcW w:w="188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Number of trades</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(cryptoassets)</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Trading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per trade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(cryptoassets)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33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67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13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09</w:t>
            </w:r>
          </w:p>
        </w:tc>
        <w:tc>
          <w:tcPr>
            <w:tcW w:w="80" w:type="dxa"/>
            <w:vAlign w:val="bottom"/>
          </w:tcPr>
          <w:p>
            <w:pPr>
              <w:spacing w:after="0"/>
              <w:rPr>
                <w:sz w:val="21"/>
                <w:szCs w:val="2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Metrics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non-IFRS financial metrics, when taken collectively, may be helpful to investors because they provide consistency and comparability with past financial performance. However, non-IFRS financial metrics are presented for supplemental informational purposes only, have limitations as an analytical tool, and should not be considered in isolation or as a substitute for financial information presented in accordance with IFRS. Other companies, including companies in our industry, may calculate similarly titled non-IFRS financial metrics differently or may use other measures to evaluate their performance, all of which could reduce the usefulness of our non-IFRS financial metrics as tools for comparison. A reconciliation is provided below for the non-IFRS financial metric to the most directly comparable financial measure stated in accordance with IFRS. Investors are encouraged to review the related IFRS financial measures and the reconciliation of this non-IFRS financial metric to its most directly comparable IFRS financial measure, and not to rely on any single financial measure to evaluate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is a non-IFRS financial metric that we define as net income (loss) adjusted to exclude finance and other expenses, net, taxes on income, share-based payment expense, depreciation and amortization, employee non-cash expense, one-time transaction costs and other expenses (income). We use Adjusted EBITDA as a metric for evaluating our operating expenses and the performance of our business, and in our strategic planning and budgeting processes. We believe Adjusted EBITDA provides useful information to investors and others in understanding the results of our business operations and provides the most comparable profitability measure of our business for the purpose of period-to-period comparisons. Adjusted EBITDA also closely mirrors our cash generation across both cash and highly liquid assets.</w:t>
      </w:r>
    </w:p>
    <w:p>
      <w:pPr>
        <w:spacing w:after="0" w:line="1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was $317 million, $304 million and $117 million for the years ended December 31, 2025, December 31, 2024 and December 31, 2023, respectively, an increase of $13 million and $187 million, respectively. The increase was primarily due to the increase in our Net income for the same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Non-IFRS Financial Metrics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IFRS financial metric,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Employee non-cash expense</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6,557</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10,891</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7,285</w:t>
            </w:r>
          </w:p>
        </w:tc>
        <w:tc>
          <w:tcPr>
            <w:tcW w:w="2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316,972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303,871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117,146</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non-cash expense for the years ended December 31, 2025, December 31, 2024 and December 31, 2023 is related to payroll expenses recorded in respect of the NWA over the employee’s vesting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96" w:name="page97"/>
    <w:bookmarkEnd w:id="96"/>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to the consolidated financial statements for IPO transaction costs for the year ended December 31, 2024 and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for the year ended December 31, 2023 is comprised of restructuring costs and other one-off non-recurring expenses. Other expense for the year ended December 31, 2024 is comprised of one-off provisions related to legal proceedings. Other expense for the year ended December 31, 2025 is comprised of Contingent consideration and holdback shares liability from Spaceship business combination and from provisions related to 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growth and success of our business, as well as our financial condition and operating results, have been and will continue to be affected by a number of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Interest and Activity in the Capital Markets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are affected by existing and potential retail investors’ interest in investing in the capital markets. Over extended periods, the global markets have exhibited cyclical behavior, with elongated bull markets generally encouraging retail investors to participate and trade.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executed trades alongside the invested amount per trade provide context on overall market activity and investor engagement. The following table presents the number of trades and invested amount per trade over the past 12 quarters.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Trades &amp; Invested Amount per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For the Quarter Ended</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w:t>
            </w:r>
          </w:p>
        </w:tc>
        <w:tc>
          <w:tcPr>
            <w:tcW w:w="7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80" w:type="dxa"/>
            <w:vAlign w:val="bottom"/>
          </w:tcPr>
          <w:p>
            <w:pPr>
              <w:spacing w:after="0"/>
              <w:rPr>
                <w:sz w:val="16"/>
                <w:szCs w:val="16"/>
                <w:color w:val="auto"/>
              </w:rPr>
            </w:pPr>
          </w:p>
        </w:tc>
        <w:tc>
          <w:tcPr>
            <w:tcW w:w="7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80" w:type="dxa"/>
            <w:vAlign w:val="bottom"/>
          </w:tcPr>
          <w:p>
            <w:pPr>
              <w:spacing w:after="0"/>
              <w:rPr>
                <w:sz w:val="16"/>
                <w:szCs w:val="16"/>
                <w:color w:val="auto"/>
              </w:rPr>
            </w:pPr>
          </w:p>
        </w:tc>
        <w:tc>
          <w:tcPr>
            <w:tcW w:w="7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6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Mar. 31,</w:t>
            </w:r>
          </w:p>
        </w:tc>
        <w:tc>
          <w:tcPr>
            <w:tcW w:w="160" w:type="dxa"/>
            <w:vAlign w:val="bottom"/>
          </w:tcPr>
          <w:p>
            <w:pPr>
              <w:spacing w:after="0"/>
              <w:rPr>
                <w:sz w:val="16"/>
                <w:szCs w:val="16"/>
                <w:color w:val="auto"/>
              </w:rPr>
            </w:pP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80" w:type="dxa"/>
            <w:vAlign w:val="bottom"/>
          </w:tcPr>
          <w:p>
            <w:pPr>
              <w:spacing w:after="0"/>
              <w:rPr>
                <w:sz w:val="16"/>
                <w:szCs w:val="16"/>
                <w:color w:val="auto"/>
              </w:rPr>
            </w:pPr>
          </w:p>
        </w:tc>
        <w:tc>
          <w:tcPr>
            <w:tcW w:w="8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9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0" w:type="dxa"/>
            <w:vAlign w:val="bottom"/>
          </w:tcPr>
          <w:p>
            <w:pPr>
              <w:spacing w:after="0"/>
              <w:rPr>
                <w:sz w:val="16"/>
                <w:szCs w:val="16"/>
                <w:color w:val="auto"/>
              </w:rPr>
            </w:pPr>
          </w:p>
        </w:tc>
        <w:tc>
          <w:tcPr>
            <w:tcW w:w="8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5"/>
              </w:rPr>
              <w:t>Dec. 31,</w:t>
            </w:r>
          </w:p>
        </w:tc>
        <w:tc>
          <w:tcPr>
            <w:tcW w:w="80" w:type="dxa"/>
            <w:vAlign w:val="bottom"/>
          </w:tcPr>
          <w:p>
            <w:pPr>
              <w:spacing w:after="0"/>
              <w:rPr>
                <w:sz w:val="16"/>
                <w:szCs w:val="16"/>
                <w:color w:val="auto"/>
              </w:rPr>
            </w:pPr>
          </w:p>
        </w:tc>
      </w:t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trade values)</w:t>
            </w:r>
          </w:p>
        </w:tc>
        <w:tc>
          <w:tcPr>
            <w:tcW w:w="1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1"/>
                <w:szCs w:val="21"/>
                <w:color w:val="auto"/>
              </w:rPr>
            </w:pPr>
          </w:p>
        </w:tc>
      </w:tr>
      <w:tr>
        <w:trPr>
          <w:trHeight w:val="198"/>
        </w:trPr>
        <w:tc>
          <w:tcPr>
            <w:tcW w:w="17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trades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 currencies,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commodities)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Invested Amount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trade (equities,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currencies and</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2"/>
                <w:szCs w:val="22"/>
                <w:color w:val="auto"/>
              </w:rPr>
            </w:pPr>
          </w:p>
        </w:tc>
      </w:tr>
      <w:tr>
        <w:trPr>
          <w:trHeight w:val="184"/>
        </w:trPr>
        <w:tc>
          <w:tcPr>
            <w:tcW w:w="182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Number of trades</w:t>
            </w: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Invested Amount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trade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(cryptoassets)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1"/>
                <w:szCs w:val="21"/>
                <w:color w:val="auto"/>
              </w:rPr>
            </w:pPr>
          </w:p>
        </w:tc>
      </w:tr>
      <w:tr>
        <w:trPr>
          <w:trHeight w:val="27"/>
        </w:trPr>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our users with a gateway to the global financial markets and a means to explore their interest outside the boundary of their local market. This empowers our users with the ability to trade and invest in a broad range of asset classes, enabling them to diversify their holdings. Our Copy Trader technology further supports the retail community’s interest by allowing users to copy a more experienced investor and to benefit from the breadth of our global community. 84% of users who copy another investor on eToro, copy someone that does not reside in the same country as them. To similar effect, our Pro Investor program has representatives from over 70 countries providing users with the ability to copy experienced investors from across the globe. As of Dec 31, 2025 we had over 4800 Pro investors on our platform.</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educational tools and social offering complement the trading experience and provide tangible means to engage with users’ topics of interest over time. Ultimately, our results will be affected by this interest and how well we are able to capture it.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have built a global platform serving users in 75 countries across 20 languages, we are also investing significant resources to provide an increasingly localized experience for trading, investing, wealth management and neo-banking in our key markets. Localization includes providing the ability to manage balances in different currencies, trading in local currencies, and access to local tax efficient savings vehicles such as ISA offering in the UK, savings products in France and superannuation products in Australia.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Global Distribution of Funded Accounts by Region</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Europe and the U.K. have been core markets for us since our founding and continue to be strategically important to us as we expect retail participation to grow considerably in Europe and the U.K. in the coming years.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invest in growing our footprint in the Asia-Pacific region. Since launching in Australia in 2016, we have continued to grow our profile and presence and we believe that our acquisition of Australian investing app, Spaceship, which closed in November 2024, will help us continue to grow our market share in Australia. eToro Singapore Pte. Ltd., “eToro Singapore,” received an In Principle Approval for a Capital Markets Services license (a “CMSL”) with the Monetary Authority of Singapore (“MAS”).</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Americas business includes the United States and Latin America. Launched in 2019, our offering in the United States was initially limited to cryptoassets and our social features including copy trading. Since then, we have expanded our U.S. product offering to include equities, ETFs and options trading. Our operations in the Americas and other regions are, and will continue to be, influenced by the evolving regulatory environment, which may impact the types of products or services we are able to offer as well as the number of Funded Accounts we serve.</w:t>
      </w:r>
    </w:p>
    <w:p>
      <w:pPr>
        <w:spacing w:after="0" w:line="1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November 2023, we launched in the United Arab Emirates and are working to expand our presence in the Middle East, which we see as having high growth potential.</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Bringing our global reach to local markets and serving those markets with localized services enhances our value proposition to new and existing users, strengthening our retention and supporting sustained Net Contribution growth over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overall macro environment, including interest rates, impacts the type of activities our users engage in on our platform. However, we believe there is a natural hedge in our business as low-interest rate environments are generally characterized by higher levels of trading activity as investors seek returns outside of interest earnings, while higher interest rate environments generally see lower trading activity but greater income from interest-bearing products. Even as trading activity has declined in higher interest rate environments, we’ve seen the number of open positions remain stable and growing across both equities and cryptoassets. The mix and intensity of shifts in macroeconomic factors will influence our performance over time.</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interest-earning assets, which include users’ cash balances, corporate cash, users’ total leveraged positions and stakeable cryptoassets, provide context on our ability to generate stable interest income and contribute to revenue diversification. Total interest-earning assets were $7.2 billion, $5.4 billion and $4.3 billion in the years ended December 31, 2025, December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Growing our User Base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performance is predicated on our ability to continue adding new users to our platform and creating long-term, trusted relationships, which drives the commission we earn. For the years ended December 31, 2025, 2024 and 2023, our total Funded Accounts were approximately 3.81 million, 3.48 million and 3.04 million, respectively. Our efforts in building relationships with our users have yielded a globally recognized brand that benefits from a growing volume of organic user acquisition.</w:t>
      </w:r>
    </w:p>
    <w:p>
      <w:pPr>
        <w:spacing w:after="0" w:line="1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our core markets, we believe there is a significant opportunity to continue expanding our presence through adding new users. Oliver Wyman estimates that the number of brokerage accounts in Europe is projected to grow at a compound annual growth rate of 11.3% between 2023 and 2028, and we will seek to increase our user base and penetration as the number of retail investors increases.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new markets, we aim to rely on our ability to obtain licenses and to establish partnerships, a combination of organic and inorganic efforts, to grow. How well we do so will affect our rate of growth. We are in the process of submitting license applications in multiple jurisdictions to support our further expansion and expect that our success in these endeavors will impact our customer growth.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believe our unique value proposition including our education content and social community will help us to continue to attract and retain new users.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Relationship with Existing Users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have expanded the product offering and capabilities of our platform, we have been able to increase the number of users as well as their level of engagement with eToro. Over half of our users trade in two or more products on our platform and users who trade a greater variety of assets have a higher lifetime value, underscoring the importance of a diversified investment offering.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a large population of users with whom we have the ability to continuously offer new value propositions, including those who have not yet funded their account and are solely participating in the educational and social aspects of our platform. In 2025, over 20% of new Funded Accounts were users who had registered with eToro during or prior to 2024.</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found that our users accumulate greater wealth and generate more investable assets over the span of their time investing on eToro. The eToro Club provides an opportunity for these users to experience greater benefits on our platform as their investing capabilities and wealth mature over time. The eToro Club has tiered memberships, and on average, users join eToro in their early thirties and gradually increase their account size as they accumulate wealth. Our eToro Club members are among the most tenured members on our platform. As of December 31, 2025, 75% of Club members have a tenure of over 36 months versus 72% for non-eToro Club members.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our users expand their usage of eToro through increased deposits and a greater share of trading activity with us versus other platforms, we see increased revenue over time, as well as greater assets under administration, reflecting the aggregate fair value of assets held by users within the platform, including those held by third-party partners for execution or custody services. As of December 31, 2025, we had $18.5 billion of assets under administration, which represents both assets and cash held within users’ Funded Accounts, compared to $16.6 billion assets under administration as of December 31, 2024 and $9.6 billion assets under administration as of December 31, 2023.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money transfers, which include user deposits, withdrawals, and cross-currency trade funding via eToro Money IBAN, provide context on user engagement and the role of money transfers and currency conversion within our broader revenue framework. Total money transfers were $11.6 billion, $8.7 billion and $5.5 billion in the years ended December 31, 2025, December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Products and Services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Adding new products and services enhances our ability to both acquire and deepen our relationships with users. We intend to continue to broaden and enhance our range of products and services that enable our users to trade, invest, save and spend. For example, in April 2025 we launched our securities lending program in the U.K. and Europe. In addition, we also launched crypto staking in the US and a recurring revenue source in the form of a subscription service. Furthermore, we plan to expand our long-term savings and investment proposition which we plan to expand globally. We also seek to introduce new products to monetize, new asset classes and geographically-specific products, such as futures and expanding our options offering beyond the United States.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invest in enhancing the products and services we offer to our users. In 2023, we upgraded our charting capabilities and launched extended hours trading that allows users to buy and sell a selection of equities outside of normal trading hours. This was extended in 2025 and users can trade the most popular ETFs, all stocks in the S&amp;P 500 and Nasdaq 100, and a number of Smart Portfolios 24/5.</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acquisition of Bullsheet in October 2022, we have integrated the team into our product development ecosystem, working with them to launch enhanced portfolio management and performance analytics. We also continue to expand the number of assets we offer our users. Collaborations with Nasdaq, the London Stock Exchange, Deutsche Boerse, ASX, Borsa Italiana, Euronext, NASDAQ Nordic exchange and Dubai Financial Markets enable us to provide our users with higher quality data pricing and access to thousands of additional equities. We have also enhanced our local tax efficient savings vehicles such as ISA offering in the UK, savings products in France and superannuation products in Australia, and in 2025 we enabled users to trade in futures in Europe, lend securities in the UK and enable crypto staking in the US.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continued improvement of our platform and product experience is paramount to user experience, driving our ability to attract and retain users; as such, we will continue to invest in our platform and offerings.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399,362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328,706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305,850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12,975,078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12,147,329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3,431,274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(loss) from cryptoasset derivatives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124,032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(130,729)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(63,105)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213,415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157,239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95,978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44,256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and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13,837,932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12,640,553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3,885,618</w:t>
            </w: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12,932,009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11,816,192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3,303,910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151,247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128,950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208,671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149,362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243,636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246,495</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other expense, net</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11,432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13,584,531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12,394,934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 on income</w:t>
            </w: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253,401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245,619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320" w:type="dxa"/>
            <w:vAlign w:val="bottom"/>
            <w:gridSpan w:val="2"/>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flow hedges, net of tax</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gridSpan w:val="2"/>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219,269</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Weighted-average common shares used to compute Net income (loss) per share attributable to</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83,503,592</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75,595,967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73,727,979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95,129,729</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85,297,910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82,818,507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disaggregate our Revenue and income to Net trading income from equities, commodities and currencies, Revenue from cryptoassets, Net trading income (loss) from cryptoasset derivatives, Net interest income from users, Currency conversion and other income and Other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Equities, commodities and currencies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trading income from equities, commodities and currencies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Net trading income from equities, commodities and currencies, which is derived from bid and ask spreads earned from users trading in equities, commodities and currencies, traded as the underlying asset or as a derivative, net of trading costs.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trading income from equities, commodities and currencies was $399 million and $329 million for the years ended December 31, 2025 and December 31, 2024, respectively, an increase of $70 million, or 21%. The increase was primarily driven by a rise in retail investors’ trading activity.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trading income from equities, commodities and currencies was $329 million and $306 million for the years ended December 31, 2024 and December 31, 2023, respectively, an increase of $23 million, or 8%. The increase was primarily driven by a rise in retail investors’ trading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access to our users to trade cryptoassets either as the underlying asset or as a derivative. When a user trades a cryptoasset as the underlying asset we purchase or sell the underlying asset. When users trade cryptoasset derivatives, we economically hedge our exposure by purchasing or selling the underlying asset. Trading cryptoassets as the underlying asset represents nearly all of our users’ cryptoasset trading activity.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users trade cryptoassets as the underlying asset or when we trade with our counterparties, it is reflected in the Revenue from cryptoassets and Cost of revenue from cryptoassets. When users trade cryptoassets derivatives, it is reflected in the Net trading income from cryptoassets derivatives.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cryptoassets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Revenue from cryptoassets, which substantially includes revenue generated from the sale of cryptoassets to users and counterparties, and to a lesser extent, revenue generated from staking rewards and blockchain rewards.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cryptoassets was $12,975 million and $12,147 million for the years ended December 31, 2025 and December 31, 2024, respectively, an increase of $828 million, or 7%. The increase was primarily due to a rise in retail investors’ trading activity in cryptoassets.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cryptoassets was $12,147 million and $3,431 million for the years ended December 31, 2024 and December 31, 2023, respectively, an increase of $8,716 million, or 254%. The increase was primarily due to a rise in retail investors’ trading activity in cryptoassets.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trading income (loss) from cryptoasset derivatives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Net trading income from cryptoasset derivatives, which is derived from bid and ask spreads earned from users trading cryptoassets as financial derivatives, net of trading costs.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trading income (loss) from cryptoasset derivatives was $124 million and $(131) million for the years ended December 31, 2025 and December 31, 2024, respectively, an increase of $255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trading loss from cryptoasset derivatives was $(131) million and $(63) million for the years ended December 31, 2024 and December 31, 2023, respectively, a decrease of $68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trading income (loss) from cryptoasset derivatives is primarily impacted by the fluctuations in the market prices of cryptoassets, which are primarily offset by our cryptoasset hedging activities, as reflected in our Revenue from cryptoassets less the Cost of revenue from cryptoassets for the years ended December 31, 2025, December 31, 2024 and December 31, 2023.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from cryptoassets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from cryptoassets is comprised of the cost of cryptoassets purchased from our users and counterparties, and the portion of the staking rewards and blockchain rewards distributed to users. In addition, cost of revenue from cryptoassets includes the net change in fair value of cryptoassets held, which is derived from the changes in the fair value less cost to sell, of our cryptoassets inventory as of the end of the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from cryptoassets was $12,932 million and $11,816 million for the years ended December 31, 2025 and December 31, 2024, respectively, an increase of $1,116 million, or 9%. The increase was primarily due to a rise in retail investors’ trading activity in cryptoassets.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from cryptoassets was $11,816 million and $3,304 million for the years ended December 31, 2024 and December 31, 2023, respectively, an increase of $8,512 million, or 258%. The increase was primarily due to a rise in retail investors’ trading activity in cryptoassets.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from users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Net interest income from users’ leveraged positions by charging a fee on margin positions that remain open overnight. We generate income from interest on users’ funds held in segregated accounts, net of interest paid to users.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income from users was $213 million and $197 million for the years ended December 31, 2025 and December 31, 2024, respectively, an increase of $16 million, or 8%. The net interest income from users is driven by both net interest income from users’ leveraged positions and interest on users’ funds. The increase in net interest income from users’ leveraged positions was primarily driven by an increase in the users’ trading activity which resulted in higher margin positions balances.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interest income from users was $197 million and $157.2 million for the years ended December 31, 2024 and December 31, 2023, respectively, an increase of $40 million, or 25%. The increase was driven by both net interest income from users’ leveraged positions and interest on users’ funds. The increase in interest on users’ funds held in segregated accounts was primarily driven by an increase in users’ cash balances. The increase in net interest income from users’ leveraged positions was primarily driven by an increase in the users’ trading activity which resulted in higher margin positions balances.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 and other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charge Currency conversion fees on our platform and our eToro Money offering. When users’ deposits and withdrawals are executed in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 conversion fee is charged and recognized as income upon the conversion. Other income is principally generated from withdrawal fees.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Currency conversion and other income was $96 million and $81 million for the years ended December 31, 2025 and December 31, 2024, respectively, an increase of $15 million, or 19%. Currency conversion income is correlated with users’ deposits and withdrawals. An increase in users’ deposits and withdrawals in 2025 resulted in a rise in currency conversion income.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Currency conversion and other income was $81 million and $44 million for the years ended December 31, 2024 and December 31, 2023, respectively, an increase of $37 million, or 84%. An increase in users’ deposits and withdrawals in 2024 resulted in a rise in currency conversion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interest income is comprised of income earned on our corporate cash and cash equivalents.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interest income was $30 million and $17 million for the years ended December 31, 2025 and December 31, 2024, respectively, an increase of $13 million, or 76%. The increase resulted predominantly from an increase in cash balances mainly due to IPO funds.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interest income was $17 million and $10 million for the years ended December 31, 2024 and December 31, 2023, respectively, an increase of $7 million, or 65%. The increase resulted predominantly from an increase in cash balances as well as an increase in interest rates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Margin interest expense is comprised of fees we incur on margin positions which remain open overnight when we execute margin transactions with counterparties.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Margin interest expense was $37.5 million and $36.7 million for the years ended December 31, 2025 and December 31, 2024, respectively, an increase of $0.8 million, or 2%. The increase was primarily driven by an increase in the users’ trading activity which resulted in higher margin positions balances.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Margin interest expense was $36.7 million and $25.3 million for the years ended December 31, 2024 and December 31, 2023, respectively, an increase of $11.4 million, or 45%. The increase was primarily driven by an increase in the users’ trading activity which resulted in higher margin positions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(“R&amp;D”) includes costs incurred in developing, maintaining, and enhancing the eToro platform. These costs primarily include R&amp;D personnel-related expenses and information technology and cloud services. R&amp;D expenses also include allocated overhead costs for facilities, welfare, travel, and depreciation.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was $151 million and $131 million for the years ended December 31, 2025 and December 31, 2024, respectively, an increase of $20 million, or 15%. The increase was primarily driven by personnel-related costs and hosting and professional services. Personnel-related expenses were $92 million and $81 million for the years ended December 31, 2025 and December 31, 2024, respectively, an increase of $11 million, or 14%, and hosting and professional services were $53 million and $43 million for the years ended December 31, 2025 and December 31, 2024, respectively, an increase of $10 million, or 23%.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R&amp;D was $131 million and $129 million for the years ended December 31, 2024 and December 31, 2023, respectively, an increase of $2 million, or 2%. The increase was primarily driven by personnel-related costs. Personnel-related expenses were $81 million and $78 million for the years ended December 31, 2024 and December 31, 2023, respectively, an increase of $3 million, or 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and marketing primarily includes costs related to user acquisition, advertising and marketing programs, and sales and marketing personnel-related expenses. Selling and marketing expenses also include allocated overhead costs for facilities, welfare, travel, and depreciation.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$209 million and $178 million for the years ended December 31, 2025 and December 31, 2024, respectively, an increase of $31 million, or 17%. The increase was primarily driven by increased marketing costs, in respect of user acquisition, advertising and marketing programs.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Overall marketing costs were $176 million and $147 million for the years ended December 31, 2025 and December 31, 2024, respectively, an increase of $29 million, or 20%. In 2025, user acquisition costs increased in line with an increase in the number of new Funded Accounts.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Selling and marketing expenses were $178 million and $149 million for the years ended December 31, 2024 and December 31, 2023, respectively, an increase of $29 million, or 19%. The increase was primarily driven by increased marketing costs, in respect of user acquisition, advertising and marketing programs.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Overall marketing costs were $147 million and $116 million for the years ended December 31, 2024 and December 31, 2023, respectively, an increase of $31 million, or 27%. In 2024, user acquisition costs increased in line with an increase in the number of new Funded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Personnel-related costs were $26 million and $28 million for the years ended December 31, 2024 and December 31, 2023, respectively, a decrease of $2 million, or 7%. This decrease was primarily due to cost-cutting measures and efficiency improvements we implemented in the second half of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operating costs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administrative and operating (“G&amp;A”) costs include costs incurred to support our business and operate the eToro platform. These costs primarily include operating costs incurred to payment processing and account verification fees, user support, software subscriptions, as well as personnel-related expenses, professional services, and other general overhead costs.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G&amp;A costs were $244 million and $228 million for the years ended December 31, 2025 and December 31, 2024, respectively, an increase of $16 million, or 7%. The increase was primarily driven by an increase in IPO expenses and professional services, offset by a decrease in personnel-related expenses due to a decline in share-based payments.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Personnel-related costs were $93 million and $102 million for the years ended December 31, 2025 and December 31, 2024, respectively, a decrease of $9 million, or 9%. The decrease was primarily driven by a decline in share-based payments.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Payment processing fees were $41.9 million and $43.3 million for the years ended December 31, 2025 and December 31, 2024, respectively, a decrease of $1.4 million, or 3%. Payment processing fees are derived entirely from user deposits and withdrawals.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were $58.4 million and $47.5 million for the years ended December 31, 2025 and December 31, 2024, respectively, an increase of $10.9 million, or 23%. The increase was primarily driven by a $3 million increase in market data costs in order to support our enhanced trading offering and by a $6.7 million increase due to IPO readiness and ongoing costs associated with being a publicly listed company.</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G&amp;A costs were $228 million and $246.5 million for the years ended December 31, 2024 and December 31, 2023, respectively, a decrease of $18.5 million, or 7.5%. The decrease was primarily driven by reduced personnel-related expenses, offset by an increase in payment processing fees and professional services.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Personnel-related costs were $102 million and $139 million for the years ended December 31, 2024 and December 31, 2023, respectively, a decrease of $37 million, or 27%. The decrease was primarily driven by a decline in share-based payments.</w:t>
      </w:r>
    </w:p>
    <w:p>
      <w:pPr>
        <w:spacing w:after="0" w:line="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Payment processing fees were $43.3 million and $35.4 million for the years ended December 31, 2024 and December 31, 2023, respectively, an increase of $7.9 million, or 22.3%. Payment processing fees are derived entirely from user deposits and withdrawals. Increased activity among new and existing users in 2024 led to higher deposit levels, which resulted in an increase in payment processing fees.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were $47.5 million and $41.6 million for the years ended December 31, 2024 and December 31, 2023, respectively, an increase of $5.9 million, or 14%. The increase was primarily driven by a $1 million increase in market data costs in order to support our enhanced trading offering and by a $0.6 million increase in outsourced customer support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and other expenses, net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Finance and other expenses, net consists of interest expense on loans and our lease liabilities, exchange rate differences, net, bank charges and revaluation of derivatives, net.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Finance and other expenses, net, were $11.4 million and $4.6 million for the years ended December 31, 2025 and December 31, 2024, respectively, an increase of $6.8 million, or 148%. The increase was primarily due to the impact of revaluation of derivatives which was offset by a decrease in exchange rates fluctuations between both years, mainly due to NIS.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Finance and other expenses, net, were $4.64 million and $3.89 million for the years ended December 31, 2024 and December 31, 2023, respectively, an increase of $0.75 million, or 19%. The increase was primarily due to the impact of exchange rates fluctuations between both years, which was offset by a decrease in revaluation of derivatives.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Taxes on income include income taxes in Israel and other jurisdictions. As we expand our international business activities, any changes in a jurisdiction’s taxation of such activities may increase our overall provision for income taxes in the future.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Taxes on income were $37.7 million and $53.2 million for the years ended December 31, 2025 and December 31, 2024, respectively, a decrease of $15.5 million, or 29%. The decrease in taxes on income was primarily due to the changes in discrete tax items and estimates in 2024 and 2025.</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Taxes on income were $53.2 million and $12.5 million for the years ended December 31, 2024 and December 31, 2023, respectively, an increase of $40.7 million, or 327%. The increase in taxes on income was primarily due to an increase in our Net income in 2024.</w:t>
      </w:r>
    </w:p>
    <w:p>
      <w:pPr>
        <w:spacing w:after="0" w:line="9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from cash flows from operating activities and net proceeds from the issuance of preferred shares. In addition, we engage from time-to-time with banks and financial institutions to secure short-term debt facilities to support our working capital requirements.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and cash equivalents were $1,073 million, $575 million and $388 million as of December 31, 2025, December 31, 2024 and December 31, 2023,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capital expenditure consists primarily of intangible assets, office equipment and leasehold improvements. Capital expenditures were $5.5 million, $21 million and $2.2 million for the years ended December 31, 2025, December 31, 2024 and December 31, 2023,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require substantial liquidity to fund our current working capital requirements, capital expenditures and general corporate purposes. Certain jurisdictions in which we operate require us to hold a substantial amount of capital to support derivatives trading activity. While we are constantly working to optimize the use of cash resources to support our operations, we expect these requirements to increase as we pursue our strategic business objectives.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resources will be sufficient to meet our business needs for the foreseeable future. Our future capital requirements will depend on many factors, including any future acquisitions. We could be required, or could elect, to seek additional funding through public or private equity or debt financing.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terms acceptable to us or at all. If we are unable to raise additional capital when desired, our business, financial condition, cash flow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key cash flows for the years ended December 31, 2025,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(143,539)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(68,527)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319,949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was $318 million for the year ended December 31, 2025, reflecting Net income of $216 million, non-cash adjustments of $99 million, which primarily consist of $38 million of taxes on income and a $33 million of increase of user and omnibus accounts, net.</w:t>
      </w:r>
    </w:p>
    <w:p>
      <w:pPr>
        <w:spacing w:after="0" w:line="3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$269 million for the year ended December 31, 2024, reflecting Net income of $192 million, non-cash adjustments of $53 million, which primarily consist of $53 million of taxes on income and a $40 million of increase of accrued expenses and other payables.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$112 million for the year ended December 31, 2023, reflecting Net income of $15 million, non-cash adjustments of $83 million, which primarily consist of $66 million of share-based payments and a $26 million increase of accrued expenses and other payables and partially offset by $33 million of increase of cryptoassets.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$143.5 million for the year ended December 31, 2025 and was primarily related to a $138 million increase of short-term investments, net.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$68.5 million for the year ended December 31, 2024 and was primarily related to a $65 million increase of short-term investments.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$1.4 million for the year ended December 31, 2023 and was primarily related to the purchase of intangible assets for $1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in financing activities was $320 million for the year ended December 31, 2025 and was primarily due to $378 million related to the IPO, offset by $60 million related to purchase of treasury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 million for the year ended December 31, 2024 and was primarily related to $4 million related to the repayment of lease liability offset by $0.9 million of exercise of options.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$11 million for the year ended December 31, 2023 and was primarily related to $7 million paid to credit facilities and $3.4 million related to the repayment of lease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19, 2023, we entered into a $25 million unsecured revolving credit facility with Bank Hapoalim B.M. (“Bank Hapoalim”) for a period of 12 months (the “Hapoalim Credit Facility”). Any amount drawn from the facility bears an annual interest at a rate of SOFR+3%. The Hapoalim Credit Facility matured on July 18, 2024. On October 16, 2024, we amended the terms of the Hapoalim Credit Facility to increase the available amount to $45 million and extend the facility’s availability through October 2025. We may use borrowings under the Hapoalim Credit Facility for general corporate purposes, excluding any crypto activity. The Hapoalim Credit Facility includes customary restrictive covenants, including limitations on additional indebtedness, creation of liens, dividend payments, changes of control and investments. In addition, failure to comply with certain of these covenants may result in an event of default, which may lead to acceleration of the amounts owed and/or the enforcement of other remedies by Bank Hapoalim. The Hapoalim Credit Facility was terminated in full on June 30, 2025 and we have no outstanding obligations under its terms.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30, 2025, we entered into a $250 million senior unsecured revolving credit facility with a syndicate of banks for a period of 3 years. Any amount drawn out of the facility will bear an annual interest rate of SOFR plus a margin ranging from 3.00% to 3.50% depending on the Company’s Leverage Ratio, being the ratio of the Total Debt of the Company to Adjusted EBITDA, as all such terms are defined therein, measured for the 12-month period preceding the last day of each calendar quarter. The facility is intended for general corporate purposes of the Company and its subsidiaries, including the funding of acquisitions. For the full agreement see Exhibit 4.5.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various contractual obligations that may require future cash payments. Our future cash commitments primarily consist of operating lease obligations for office space, salary obligations to our employees and contractual obligations under license, technology platform and professional services agreements. As of December 31, 2025, we had non-cancellable contractual obligations to vendors of $97 million due as follows: $65 million in 2026, $26 million in 2027 and $5 million in 2028 and thereafter, which represent our commitments primarily for hosting services, software products and services under contracts of 12 months or longer.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the year ended December 31, 2025, we had contractual, undiscounted lease liabilities of:</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5,283</w:t>
            </w: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5,303</w:t>
            </w:r>
          </w:p>
        </w:tc>
      </w:tr>
      <w:tr>
        <w:trPr>
          <w:trHeight w:val="210"/>
        </w:trPr>
        <w:tc>
          <w:tcPr>
            <w:tcW w:w="100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2031 and thereafter</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37,895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67,642</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Off-balance sheet arrangements include segregated user funds. Cash, equities and cryptoassets are held by us on behalf of our users: we commonly act in a variety of arrangements as custodian, trustee or other fiduciary capacities that result in the holding of assets on behalf of users. Such assets are maintained in segregated accounts or segregated cryptoasset wallets in accordance with the relevant regulatory framework and/or legal framework and are held for the benefit of the user who remains the legal and/or beneficial owner of these assets.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our research and development activities primarily in Israel as well as other locations such as Georgia, Ukraine, Australia, Belgium, Denmark, Cyprus and more. As of December 31, 2025, our research and development department included 602 employees and contractors. In 2025, research and development costs accounted for 17.4% of our Net Contribution.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regarding our patents, see “Item 4.B. Business Overview—Intellectual Property.”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2025,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IFRS. The preparation of the consolidated financial statements in conformity with IFRS requires our management to make estimates, judgments and assumptions. These estimates, judgments and assumptions can affect the reported amounts of assets and liabilities and disclosure of contingent assets and liabilities at the dates of the consolidated financial statements and the reported amounts of income and expenses during the reporting period and accompanying notes. Actual results could differ from those estimates. Our management believes that the estimates, judgments and assumptions used are reasonable based upon information available at the time they are made.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following accounting policies are the most critical to understanding our financial condition and results of operations. We consider an accounting policy to be critical when (1) the estimate, judgment or assumption is complex in nature or requires a high degree of judgment and (2) the use of different estimates, judgments and assumptions could have a material impact on our consolidated financial statements. Based on this definition, our management has identified the critical accounting policies and estimates addressed below. For more information, see note 3 to the consolidated financial statements included elsewhere in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income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trading income is derived from spreads of buying and selling the underlying asset or a derivative of equities, commodities, currencies and cryptoassets, which may be fixed or variable depending on the underlying asset traded.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Trading costs include execution, clearing and custody costs, trading gains and losses from our principal activities and user compensation costs.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trading income is accounted for under the provisions of IFRS 9, at fair value in accordance with IFRS 13, Fair Value Measurement, as we are a broker-trader, and our operations are based on generating a profit from variation in price of broker-traders’ margin and fair value adjustments of trading cryptoassets, commodities, currencies and equities.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the users, in an amount that reflects the consideration we expect to be entitled to in exchange for those goods or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cryptoassets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sell cryptoassets to users and counterparties who meet the definition of customers under IFRS 15, Revenues from Contracts with Customers (“IFRS 15”), for the said transactions and accordingly are recorded as revenue from cryptoassets.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contract with our users upon the users’ placing a purchase order in the platform which is accepted by us. We may fulfill the purchase order by either purchasing cryptoassets from counterparties or from existing users that placed a sale order in the platform.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recognized at the point in time in which control over the cryptoasset transfers to the user, which is typically when the cryptoasset is transferred to the omnibus account. The transaction price is collected from the user at the time the transaction is executed. Once the cryptoasset is transferred to the omnibus account, it is held in custody by us on behalf of the users.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Since the user can terminate the custody services at any time (i.e., when the position is closed), the term of these services is based on daily renewal options which are not considered material rights, since no fee is charged for these services. As such, effectively only one performance obligation exists in our contracts with our users for the purchase of cryptoassets by the users, which is the promise to execute a purchase order on behalf of our users.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in determining whether we are the principal or the agent in transactions with users. We evaluate the presentation of revenue on a gross or net basis based on whether we control the cryptoasset provided before it is transferred to the user (gross) or whether we act as an agent by arranging for other users on the platform to provide the cryptoasset to the user (net). We control the cryptoasset as we have the ability to direct the use of and obtain substantially all the benefits from the assets. When we acquire cryptoassets either from a counterparty or an existing user that placed a sale order, we have the ability to redirect that asset to provide it to another user other than the party originally intended, elect to hold that asset itself as an investment or sell that asset to a different counterparty for consideration. We have inventory risk from the time the user has placed an order in the platform until the cryptoasset is transferred to the omnibus account on behalf of the user. We have discretion in establishing the price and the pricing method in our contracts with users. Therefore, we have determined to be the principal in these transactions and recognize revenue on a gross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counterparties are also considered customers when we contract a sale of cryptoassets to such counterparties. We consider such sales contracts as containing only one performance obligation which is satisfied at the point in time that the control over the cryptoassets is transferred to their counterparties. We are considered as the principal in these transactions with the counterparties for the same reasons as described above. Therefore, we recognize revenue on a gross basis on these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Accounting for cryptoassets held on behalf of users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IFRS does not define the accounting treatment for either our cryptoassets or the cryptoassets we hold on behalf of users. Accordingly, to determine the appropriate accounting treatment, we have followed the guidance of IAS 8, Accounting Policies, Changes in Accounting Estimates and Errors, that allows us to consider the most recent pronouncements of other standard-setting bodies, other accounting literature and accepted industry practice.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determined that our cryptoassets should be accounted for under IAS 2, Inventories, because we meet the definition of a broker-trader under IAS as our cryptoassets are primarily traded in active trading platforms and are purchased with the intent to resell in the near future, generating a profit from the fluctuations in prices or margins.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believe that IFRS 15 is the appropriate standard to apply with respect to our cryptoasset holdings on behalf of the users because cryptoassets are not considered financial assets under IFRS, thus placing the cryptoasset contracts in the scope of IFRS 15. In deciding whether the cryptoassets held on behalf of the users should be presented on or off-balance sheet, IFRS 15 guidance requires us to make a determination on who controls the cryptoassets. The determination of control is based on several indicators that mainly examine who is entitled to the economic benefits derived from the cash flows arising from these assets, and which party has a secured claim in case of the insolvency of each party to the arrangement including the institution where the funds are held. This determination is re-examined when there is a change in circumstances, laws, regulations and contracts with the client.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IFRS 15, we have analyzed whether control has been transferred to users upon the transfer of the cryptoassets to omnibus accounts, including the fact that (i) the payment is received from the user, (ii) the user has legal title to the cryptoassets and (iii) the user has significant risks and rewards from owning the cryptoasset. We have also considered other applicable indicators mentioned in relevant accounting literature, including the fact that (a) the users have title to those cryptoassets, (b) the cryptoassets are segregated from our cryptoassets and held in omnibus accounts and (c) our creditors cannot use the cryptoassets held on behalf of the users in a case of our insolvency or other debt restructuring. Accordingly, we concluded that the cryptoassets held on behalf of the users should be off-balance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employees and board members receive remuneration in the form of share-based payments, whereby employees render services as consideration for equity instruments (“equity-settled transactions”).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 of equity-settled transactions with employees is measured at the fair value of the equity instruments granted on grant date. The fair value is determined by using the Black-Scholes option-pricing model taking into account the terms and conditions upon which the instruments were granted. The model requires management to make a number of assumptions, including inputs to the model including the fair value and expected volatility of our underlying common share price, expected term of the share option, risk-free interest rate, and expected dividend yield.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of equity-settled transactions is recognized as an expense, together with a corresponding increase in equity, over the period during which the relevant employees become entitled to the award. The cumulative expense recognized for equity-settled transactions at each reporting date until the vesting date reflects the extent to which the vesting period has expired and our best estimate of the number of equity instruments that will ultimately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or deferred taxes are recognized in profit or loss, except to the extent that they relate to items which are recognized in income or equity.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taxes are measured at the tax rate that is expected to apply when the asset is realized or the liability is settled, based on tax laws that have been enacted or substantively enacted by the reporting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that they will be utilized. Deductible carry forward losses and temporary differences for which deferred tax assets had not been recognized are reviewed at each reporting date and a respective deferred tax asset is recognized to the extent that their utilization is probable.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Uncertain tax positions arise from tax treatments applied by us which may be challenged by the tax authorities due to the complexity of the transaction or different interpretation of the tax laws, a claim for rectification brought by us, an appeal for a refund claimed from the tax authorities related to additional assessments or a tax investigation by the tax authorities. We recognize our uncertain tax positions in the consolidated financial statements in accordance with IAS 12 Income Taxes and IFRIC 23 Uncertainty over Income Tax Treatments. The income tax asset is recognized if a tax refund is probable for taxes paid and levied by the tax authority, and the amount to be paid as a result of the tax investigation and others is recognized as a current tax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elsewhere in this annual report for new accounting pronouncements not yet adopted as of the dates of the statement of financial position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Credit risk is defined as the risk to earnings or capital arising from an obligor’s failure to meet the terms of any contract or to otherwise fail to perform as agreed. For instance, exposure to a counterparty with the potential to produce a significant amount of capital loss due to a bankruptcy or failure to pay.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following institutional counterparties: clearing providers, liquidity providers and payment service providers, as well as banks with respect to our own assets. We manage the credit risk arising from institutional counterparties by setting exposure limits and monitoring exposure against such limits, reviewing periodic credit reviews, and spreading credit risk across a number of different institutions to diversify risk.</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set principles in order to monitor and manage the credit risk on a real time basis. Management estimates that the credit exposure as of December 31, 2025, 2024 and 2023 is substantially equal to the carrying value of the related assets, as the credit valuation adjustment is de minimis and no impairment has been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Market risk is the risk that fair value or future cash flows of a financial instrument will fluctuate because of changes in market prices. We are exposed to market price risk and foreign currency risk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price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market price risk as a result of our trading activities in derivatives of underlying assets in currencies, commodities, currencies, equities and cryptoassets, part of which is naturally hedged as part of the overall market risk management. The exposure is monitored on a group-wide basis and managed using limits on future potential losses from such exposure. Since we hedge our main exposures to users’ positions with third-party counterparties, we do not have significant exposure to the underlying assets detailed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Transactional foreign currency exposures represent risks associated with financial assets or liabilities denominated in currencies other than the functional currency of which is the U.S. dollar. Transaction exposures arise in the normal course of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excess financial liabilities over financial assets that are denominated in currencies other than the U.S. dollar of $50.4 million. As of December 31, 2024, we had excess financial liabilities over financial assets that are denominated in currencies other than the U.S. dollar of $39.9 million. As of December 31, 2023, we had excess financial assets over financial liabilities that are denominated in currencies other than the U.S. dollar of $20.8 million.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Foreign currency risk is managed on a group-wide basis. We monitor transactional foreign currency risks, including currency position and future expected exposures. We use non-designated hedges to mitigate the risks.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level of prevailing short-term interest rates affects our profitability because we derive a portion of our revenue and net income from interest earned from users’ leveraged positions, interest on users’ funds held in segregated accounts and interest on our corporate cash and cash equivalents. Higher interest rates increase the amount of the above interest income. In addition, we incur interest expense on margin positions which remain open overnight when we execute margin transactions with counterparties, as well as interest expense on other loans and revolving credit facilities. When short-term interest rates decline, our revenue and net income derived from interest correspondingly decline, which negatively impacts our profitability.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impact on total Net income (loss) that would result from the hypothetical interest rate increases listed therein for each of the periods described therein: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4000" w:type="dxa"/>
            <w:vAlign w:val="bottom"/>
            <w:gridSpan w:val="2"/>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 basis points</w:t>
            </w:r>
          </w:p>
        </w:tc>
        <w:tc>
          <w:tcPr>
            <w:tcW w:w="3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48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 basis points</w:t>
            </w:r>
          </w:p>
        </w:tc>
        <w:tc>
          <w:tcPr>
            <w:tcW w:w="484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655"/>
        </w:trPr>
        <w:tc>
          <w:tcPr>
            <w:tcW w:w="3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member of our board of directors and senior management as of February 20,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ind w:left="25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Executives and Directors</w:t>
            </w: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Johnathan Alexander (“Yoni”) Assia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Meron Shani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Hedva Ber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Chief Operating Officer and Deputy Chief Executive Officer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Ronen Assia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and Co-Founder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Avner Stepak (1) (2) (3)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Santo Politi (1) (2) (3)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Eddy Shalev (1) (2) (3)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Unger (2) (3)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Lior Shemesh (2) (3)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nominating and governance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&amp; risk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rules of Nasdaq.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Yoni Assia, Chairman of the Board, Chief Executive Officer and Co-Founder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Yoni Assia is our Co-Founder and has served as our Chief Executive Officer and Chairman of our board since our inception. Mr. Assia co-wrote the Colored Coins whitepaper with Ethereum creator Vitalik Buterin in 2013. Prior to founding eToro in 2007, Mr. Assia was Co-Founder and development manager of video technology start-up CDRide. Mr. Assia serves as a board member of Meitav Dash Investments (“Meitav Dash”), a public company and one of the largest investment houses in Israel with over $40 billion in assets under management. He is also a member of the Young Presidents’ Organization. Mr. Assia holds a BA in Management and Computer Science from the Open University and an MSc in Computer Science from the IDC Herzliya.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Meron Shani, Chief Financial Officer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Meron Shani has served as our Chief Financial Officer since November 2022, having joined eToro as Vice President Finance in April 2019. Prior to joining eToro, Mr. Shani served in senior roles at The Stars Group from 2010 to 2018, most recently as Finance Director from 2014 to 2018. From 2003 to 2009, Mr. Shani served in senior financial roles at 888 Holdings Plc., including as Finance Director, and was part of the senior team which led the company’s successful IPO in 2005. Prior to that, Mr. Shani served as Senior Associate at PWC Israel. Meron holds a BA in Accounting and Business from The College of Management Tel Aviv and a Master’s of Law degree from Bar Ilan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Hedva Ber, Global Chief Operating Officer and Deputy Chief Executive Officer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Dr. Hedva Ber has served as the Global Chief Operating Officer and Deputy Chief Executive Officer since March 2021. Dr. Ber oversees our operational infrastructure and corporate governance. Dr. Ber has more than 25 years of experience across the banking and finance industry. Prior to joining on a full-time basis, Dr. Ber served as a consultant for us from December 2020 to March 2021. From 2015 to May 2020, she served as Israel’s Supervisor of Banks where she actively promoted digital transformation and the implementation of innovation and technological changes in the banking and payment sectors. Prior to that, she held several senior roles at Bank Leumi, the last being Chief Risk Officer. From 2005 to 2008, Dr. Ber represented the State of Israel on the Board of Directors of the European Bank for Reconstruction and Development in London. Since December 2025, Dr. Ber has also served as a member of the Board of Directors of Bank Mizrahi-Tefahot. Dr. Ber holds a BA in Economics and Political Science, as well as an MA in Economics and PhD in Economics from the Hebrew University in Jerusalem.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Ronen Assia, Co-Founder and Executive Director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Ronen Assia is our Co-Founder, a part-time employee and serves as the Executive Director of our board. For more than 20 years, Mr. Assia has been merging technology and design to create products that perform across multiple platforms. Prior to co-founding eToro in 2007, Mr. Assia designed medical devices, household appliances, and desktop and web applications. Until 2020, Mr. Assia oversaw products and engineering at eToro. As of 2020, Mr. Assia serves as Managing Partner of Team 8 Fintech. He holds a BA in Industrial Design from Bezalel Academy of Arts and Design and an MA in Product Design from the Royal College of Art in London.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Avner Stepak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Avner Stepak has served as a director of our board since October 1, 2013. Mr. Stepak has served as Vice Chairman and Co-Controlling Shareholder of Meitav Dash since 2013. Mr. Stepak has previously served and currently serves as a director on a long list of Meitav Dash’s portfolio companies. Mr. Stepak holds a BA in Communication and Management from the University of Tel-Aviv and an MBA from the University of Tel-Aviv and the Kellog School of Management at Northwestern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Santo Politi</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Santo Politi has served as a director of our board since December 29, 2010. Mr. Politi is a Founder and managing member at Spark Capital, a venture capital firm that invests in early-stage venture and venture-growth companies. He has led Spark Capital’s investments in Oculus, Lightmatter, Liquidity, Stoke Space and many others. Prior to founding Spark, Mr. Politi was a General Partner at Charles River Ventures, an early-stage venture capital fund in Boston, and before that a General Partner of BT Venture Partners, an early-stage venture capital firm affiliated with Bankers Trust. Mr. Politi holds an MBA in Finance from The Wharton School of the University of Pennsylvania, an MS in Electrical Engineering from NJIT, and a BS in Physics and a BS in Electrical Engineering from Bogazici University in Istanbul, Turkey.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Eddy Shalev</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Eddy Shalev has served as a director of our board since December 2014. Mr. Shalev currently serves as Chairman of F2 Capital, an Israel-based early-stage venture capital fund, as well as Managing Partner and Founder of Genesis Partners, an Israel-based early-stage venture capital firm that was sold to Insight Partners in 2019. Previously, Mr. Shalev co-founded the Mofet Israel Technology fund, one of Israel’s first venture capital funds, where he was a board member and sat on the Investment Committee. Prior to his career in venture capital, Mr. Shalev was CEO of E. Shalev Ltd, a brokerage firm in Israel that ran investment banking, sales and trading, and research activities involving Israeli companies traded in the U.S. markets. The firm was the exclusive representative for Oppenheimer &amp; Co.’s activities in the region. Mr. Shalev began his career at IBM, where he worked in various positions in engineering, marketing and sales in Israel and the U.K. Mr. Shalev holds a BA in Statistics and MSc in Information Systems from the University of Tel-Aviv.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Laura Unger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Laura Unger has served as a director of our board since July, 2025. Ms. Unger is a financial services regulatory, legislative, policy and strategy expert. She has held a variety of public and private sector roles and served on multiple corporate boards over the last twenty years, including Nomura Holdings, Inc. (NYSE: NMR) from 2018 until 2025, Borland Software from 2002 until 2004, MBNA from 2003 until 2005, Merrill Lynch IQ Funds from 2007 until 2010, Ambac Financial from 2003 until 2013, CA Technologies from 2004 until 2018, CIT Group from 2010 until 2022 and Navient Corporation (Nasdaq: NAVI) from 2014 until 2024. She is a former SEC Commissioner and Acting Chair, and former Counsel to the U.S. Senate Banking Committee. Ms. Unger received a J.D. from New York Law School in 1987 and a B.A. from U.C. Berkeley in 1983.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Lior Shemesh</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Lior Shemesh has served as a director of our board since July, 2025. Mr. Shemesh is an experienced CFO with a strong track record of shaping and leading the financial strategy and operations for technology companies. He has served as CFO of Wix.com Ltd. (Nasdaq: WIX) since April 2013. Before joining Wix, Lior served as VP Finance and then CFO at Alverion Ltd., a provider of optimized wireless broadband solutions. Previously, he held senior finance roles at Veraz Networks Inc., a softswitch, media gateway and digital compression solutions provider, and ECI Telecom Ltd., a network infrastructure provider. From July 2012 to June 2021, Mr. Shemesh served on the board of directors of Aspen Group Ltd., where he was also on the compensation committee, financial statements committee, as well as chair of the audit committee. Mr. Shemesh began his career as an accountant at Israel Aerospace Industries. He has a B.A. in Accounting &amp; Economics and an M.B.A. from Bar-Ilan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Senior Management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amount of compensation paid and benefits in kind provided to our directors and named executive officers for services in all capacities to us and our subsidiaries for the year ended December 31, 2025 was $7.5 million.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for each of our executive officers is comprised of the following elements: base salary, consultant fees, bonus, long-term incentive bonus perquisites and benefits under employee benefit plans. We have accrued an amount to provide pension, retirement or other similar benefits to our directors and executive officers.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arrangements involving the grant of options and other securities to service providers of us and our subsidiaries, see “—Equity Incentive Plans.”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Bonuses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executive officers were eligible to receive a cash bonus based on the satisfaction of certain performance metrics set by us. Our executive officers were required to remain employed on the payment date in order to receive their bonus.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3,618,488 Class A common shares and 3,831,622 Class B common shares issuable upon the exercise of outstanding options held by our directors and executive officers as of December 31, 2025 under the 2007 Plan and the 2021 Plan, with a weighted-average exercise price of $6.18 per share. There were 9,340 Restricted Share Units held by our directors as of December 31, 2025 under the 2021 Plan, with each Restricted Share Unit vesting into one Class A common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Employee Share Option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2007 Plan was adopted by our board on May 14, 2007 and amended on March 19, 2018. The 2007 Plan’s term was extended by our board, in accordance with Section 15.2 of the 2007 Plan, on July 31, 2017 for ten years. The 2007 Plan provides for the grant of options to our and our subsidiaries’ employees, directors, office holders, service providers and consultants.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no Class A common shares were reserved and available for issuance under the 2007 Plan. After the adoption of the 2021 Plan, we ceased granting awards under the 2007 Plan; however, outstanding options that were granted under the 2007 Plan before the adoption of the 2021 Plan will remain outstanding and governed by the terms of the 2007 Plan. In addition, Class A common shares subject to options granted under the 2007 Plan that expire or become unexercisable without having been exercised in full will become available again for future grants under the 2021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administers the 2007 Plan, either directly or upon the recommendation of a share option advisory committee. Under the 2007 Plan, the administrator has the authority, subject to applicable law, to interpret the terms of the 2007 Plan and any award agreements or awards granted thereunder and take all actions and make all other determinations necessary for the administration of the 2007 Plan.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administrator also has the authority to amend and rescind rules and regulations relating to the 2007 Plan or terminate the 2007 Plan at any time before the date of expiration.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2007 Plan, eligible participants include our employees and other service providers and our affiliates including consultants, advisors and also any “controlling shareholder” as defined under Section 32(9) of the Israeli Income Tax Ordinance (New Version), 5721-1961 as amended (the “Ordinance”). The 2007 Plan provides for granting of awards under the Israeli tax regime, subject to restrictions imposed by applicable law, in compliance with Section 102 of the Ordinance, and Section 3(i) of the Ordinance.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102 of the Ordinance allows employees, directors and officers who are not controlling shareholders and are considered Israeli residents to receive favorable tax treatment for compensation in the form of shares, options and certain other types of equity awards. Our non-employee service providers and controlling shareholders may only be granted options under Section 3(i) of the Ordinance, which does not provide for similar tax benefits.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awards granted pursuant to the 2007 Plan are evidenced by an award agreement, in a form approved, from time to time, by the administrator, in its sole discretion. The award agreement sets forth the terms and conditions of the award, including the type of award, number of shares subject to such award, vesting schedule and conditions (including performance goals or measures) and the exercise price, if applicable. Each award expires 10 years from the date of the grant thereof, unless such shorter term of expiration is otherwise designated by the administrator.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award under the 2007 Plan may be exercised by providing us with a written notice of exercise and full payment of the exercise price for such shares underlying the award, if applicable, in such form and method as may be determined by the administrator and permitted by applicable law. An award may not be exercised for a fraction of a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by will, the laws of descent and distribution or as otherwise provided under the 2007 Plan, neither the options nor any right in connection with such options are assignable or transferable.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us or any of our affiliates, except as otherwise provided by the administrator, all unvested awards shall forfeit and, except in case of death, disability or a termination for “Cause” (as defined in the 2007 Plan), all vested and exercisable awards held by such grantee as of the date of termination may be exercised within three months after such date of termination, unless otherwise determined by the administrator. After such three-month period, all such unexercised awards will terminate and the shares covered by such awards shall again be available for issuance.</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us or any of our affiliates due to such grantee’s disability, all vested and exercisable awards held by such grantee as of the date of disability (as defined in the 2007 Plan) may be exercised by the grantee within such period of time as is specified in the option agreement, and in the absence of specified time, for a period of six months following the date of disability.</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us or any of our affiliates due to such grantee’s death, all vested and exercisable awards held by such grantee as of the date of death may be exercised by the grantee’s estate, or by a person who acquired the right to exercise the award by bequest or inheritance, as applicable, unless otherwise provided in an award agreement, until the earliest to occur of (a) 18 months following the date of death, (b) six months following the date of issuance of a succession order or (c) six months following the date of issuance of an inheritance order.</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Notwithstanding any of the foregoing, if a grantee’s employment or services with us or any of our affiliates is terminated for “Cause,” all outstanding awards held by such grantee (whether vested or unvested) will be forfeited on the date of such termination and the shares covered by such awards shall again be available for issuance.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Transactions; adjustment</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of a merger with or into another company, or the sale of all or substantially all of our assets or shares while unexercised options remain outstanding under the 2007 Plan, each unexercised option shall be assumed or substituted. In the case of such assumption and/or substitution of shares, appropriate adjustments shall be made in the exercise price to reflect such action, and all other terms and conditions of the option agreements, such as the vesting dates, shall remain in force, all subject to the administrator’s determination which shall be final.</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event we are liquidated or dissolved while vested options remain unexercised and outstanding under the 2007 Plan, then all such options may be exercised in full by the grantee as of the effective date of any such liquidation or dissolution.</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2007 Plan provides for appropriate adjustments to be made to the 2007 Plan and to outstanding awards under the 2007 Plan in the event of a stock dividend (bonus shares), share split, combination or exchange of shares, re-capitalization, or any other like event by or of us according to which the share capital of we are increased without receipt of consideration by eToro (excluding a conversion of any convertible securities of eToro).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2021 Plan was adopted by our board in September 2021 and amended prior to our initial public offering in May 2025, under which we may grant equity-based incentive awards to attract, motivate and retain the talent for which we compete. Following the adoption of the 2021 Plan, we ceased granting any awards under the 2007 Plan, and outstanding options that were granted under the 2007 Plan remain outstanding and governed by the terms of the 2007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number of our Class A common shares available for issuance under the 2021 Plan as of December 31, 2025 was 8,188,028.</w:t>
      </w:r>
    </w:p>
    <w:p>
      <w:pPr>
        <w:spacing w:after="0" w:line="2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number of our Class A common shares available for issuance under the 2021 Plan will increase (and without the need to further amend the 2021 Plan) (i) on an annual basis on the first day of each calendar year beginning on January 1, 2026 and ending on January 1, 2035, in an amount equal to the lesser of (A) five percent (5%) of the aggregate number of shares outstanding (on an as converted basis) on the final day of the immediately preceding calendar year and (B) such amount as determined by our board if so determined prior to January 1 of a calendar year in which the increase will occur,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any shares underlying awards under the 2007 Plan or the 2021 Plan, which have expired, or were cancelled, terminated, forfeited or settled in cash in lieu of issuance of shares or became unexercisable without having been exercised.</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However, no more than 6,115,897 shares may be issued upon the exercise of incentive stock options (“ISOs”). If permitted by us, shares tendered to pay the exercise price or withholding tax obligations with respect to an award granted under the Plans may again be available for issuance under the 2021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board, or a duly authorized committee of our board, will administer the 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administrator also has the authority to approve the conversion, substitution, cancellation or suspension under and in accordance with the 2021 Plan of any or all awards, and the authority to modify awards to eligible individuals who are foreign nationals or are individuals who are employed outside Israel to recognize differences in local law, tax policy or custom, in order to effectuate the purposes of the 2021 Plan but without amending the 2021 Plan. Our board also has the authority to suspend, terminate, modify or amend the 2021 Plan at any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Under the 2021 Plan, eligible participants include employees and other service providers of us and our affiliates. The 2021 Plan provides for granting of awards under various tax regimes, including, without limitation, in compliance with Section 102 of the Ordinance, and Section 3(i) of the Ordinance and for awards granted to our U.S. employees or service providers, including those who are deemed to be residents of the United States for tax purposes, Section 422 of the Code and Section 409A of the Code.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All awards granted pursuant to the 2021 Plan have been and will be evidenced by an award agreement, in a form approved, from time to time, 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Each award will expire ten years from the date of the grant thereof, unless such shorter term of expiration is otherwise designated by the administrator.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2021 Plan provides for the grant of stock options (including incentive stock options and nonqualified stock options), Class A common shares, restricted shares, restricted share units and other share-based awards. Options granted under the 2021 Plan to our employees who are U.S. residents may qualify as “incentive stock options” within the meaning of Section 422 of the Code, or may be non-qualified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An award under the 2021 Plan may be exercised by providing us with a written or electronic notice of exercise 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us or the trustee.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than by will, the laws of descent and distribution or as otherwise provided under the 2021 Plan, neither the options nor any right in connection with such options are assignable or transferable.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us or any of our affiliates, except as otherwise provide by the administrator, all unvested awards shall forfeit and all vested and exercisable awards held by such grantee as of the date of termination may be exercised within three months after such date of termination, unless otherwise determined by the administrator. After such three-month period, all such unexercised awards will terminate and the shares covered by such awards shall again be available for issuance under the 2021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5" w:name="page116"/>
    <w:bookmarkEnd w:id="11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termination of a grantee’s employment or service with us or any of our affiliates due to such grantee’s death, permanent disability or retirement, all vested and exercisable awards held by such grantee as of the date of termination may be exercised by the grantee or the grantee’s legal guardian, estate, or by a person who acquired the right to exercise the award by bequest or inheritance, as applicable, within twelve months after such date of termination, unless otherwise provided by the administrator. Any awards which are unvested as of the date of such termination or which are vested but not then exercised within the twelve-month period following such date, will terminate and the shares covered by such awards shall again be available for issuance under the 2021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any of the foregoing, if a grantee’s employment or services with us or any of our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adjustment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2021 Plan provides for appropriate adjustments to be made to the plan and to outstanding awards under the plan in the event of a share split, reverse share split, distribution, recapitalization, combination, reclassification of our shares, consolidation, reorganization, extraordinary cash dividend or other similar occurrences.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of a sale of all, or substantially all, of our Class A common shares or assets, a merger, consolidation amalgamation or similar transaction, or certain changes in the composition of our board, or liquidation or dissolution, or such other transaction or circumstances that our board determines to be a relevant transaction, then without the consent of the grantee, the administrator may make any determination as to the treatment of outstanding awards, including the following: (i) cause any outstanding award to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our Class A common shares, the acquirer or other corporation which is a party to such transaction or other property or rights as determined by the administrator as fair in the circumstances and/or (c) amend, modify or terminate the terms of any award as the administrator shall determine to be fair in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Share Purchase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adopted our ESPP in May 2025.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total of 2,201,301 Class A common shares will be available for sale under the ESPP, subject to adjustment as provided for in the ESPP. In addition, on the first day of each fiscal year beginning with the 2026 fiscal year and through the 2035 fiscal year, such pool of the Class A common shares shall be increased by that number of Class A common shares equal to the lesser of:</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Class A common shares as of the last day of the immediately preceding fiscal year;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smaller amount as our board of directors may determine.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the number of shares that may be issued or transferred pursuant to the rights granted under the Section 423 Component of the ESPP shall not exceed an aggregate of 2,201,301 shares, subject to adjustments pursuant to the ESPP.</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administrator will establish a maximum number of shares that may be purchased by a participant during any purchase period or offering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 Administration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determined by our board, the compensation committee of our board of directors (the “ESPP administrator”) will 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ESPP administrator deems necessary or expedient to promote our best interests and those of our subsidiaries and to carry out the intent that the ESPP be treated as an “employee stock purchase plan” within the meaning of Section 423 of the Code for the Section 423 Component.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Participation in the Section 423 Component may be limited in the terms of any offering to our employees and any of our designated subsidiaries</w:t>
      </w:r>
    </w:p>
    <w:p>
      <w:pPr>
        <w:spacing w:after="0" w:line="27" w:lineRule="exact"/>
        <w:rPr>
          <w:sz w:val="20"/>
          <w:szCs w:val="20"/>
          <w:color w:val="auto"/>
        </w:rPr>
      </w:pPr>
    </w:p>
    <w:p>
      <w:pPr>
        <w:jc w:val="both"/>
        <w:ind w:firstLine="8"/>
        <w:spacing w:after="0" w:line="251"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customarily work 20 hours or more per week, (b) whose customary employment is for more than five months per calendar year, (c) who have met a service requirement established by the Administrator (which may not exceed two years), (d) who do not qualify as a “highly compensated employee” within the meaning of Section 423(b)(4)(D) of the Code, and/or (e) satisfy the procedural enrollment and other requirements set forth in the ESPP. Under the Section 423 Component, designated subsidiaries include any subsidiary (within the meaning of Section 424(f) of the Code) of ours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we have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and other of our securities or any of our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Periods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ESPP provides for offering periods, not to exceed 27 months each, during which we will grant rights to purchase Class A common shares to our employees. The timing of the offering periods will be determined by the ESPP administrator. The terms and conditions applicable to each offering period will be set forth in an offering document adopted by the ESPP administrator for the particular offering period. The provisions of offerings during separate offering periods under the ESPP need not be identical.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ESPP will permit participants to purchase Class A common shares through contributions (in the form of payroll deductions, or otherwise, to the extent permitted by the ESPP administrator). The percentage of compensation designated by an eligible employee as payroll deductions for participation in an offering may not be less than 1% and may not be more than the maximum percentage specified by the ESPP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ESPP administrator may limit the number of changes a participant may make in the applicable offering document. In the absence of any specific designation by the ESPP administrator, a participant may decrease or increase his or her payroll deduction elections one time during each offering period. Amounts contributed and accumulated by the participant will be used to purchase Class A common shares at the end of each offering period. Unless otherwise determined by the ESPP administrator, the purchase price of the shares will be 85% of the lower of the fair market value of Class A common shares on (i) the first trading day of the offering period or (ii) the last trading day of the offering period (and may not be lower than such amount with respect to the Section 423 Component).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and such participant’s rights for the offering period shall be automatically terminated, and no further payroll deductions for the purchase of shares shall be made for such offering period. Participation ends automatically upon termination of employment with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contributions credited to his or her account nor any rights granted under the ESPP other than by will, the laws of descent and distribution or as otherwise provided under the ESPP.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certain transactions or events such as a consolidation, merger or similar transaction, a sale or transfer of all or substantially all of our assets, or if we are dissolved or liquidated, with respect to which the ESPP administrator determines that an adjustment is appropriate in order to prevent dilution or enlargement of the benefits or potential benefits intended by us to be made available under the ESPP or with respect to any outstanding purchase rights under the ESPP, the ESPP administrator shall make equitable adjustments, if any, to reflect such change with respect to (a) the aggregate number and type of shares that may be issued under the ESPP; (b) the class(es) and number of shares and price per share subject to outstanding rights; and (c) the purchase price with respect to any outstanding rights. In addition, in any such situation, the ESPP administrator may, in its discretion, make other adjustments, including:</w:t>
      </w:r>
    </w:p>
    <w:p>
      <w:pPr>
        <w:spacing w:after="0" w:line="189"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either (i) termination of any outstanding right in exchange for an amount of cash, or (ii) the replacement of such outstanding right with other rights or property selected by the ESPP administrator in its sole discretion;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outstanding rights under the ESPP shall be assumed by the successor or survivor corporation, or a parent or subsidiary thereof, or shall be substituted for by similar rights covering the shares of the successor or survivor corporation, or a parent or subsidiary thereof, with appropriate adjustments as to the number and kind of shares and prices;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adjustments in the number and type of shares (or other securities or property) subject to outstanding rights under the ESPP and/or in the terms and conditions of outstanding rights and rights that may be granted in the future;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accumulated payroll deductions may be used to purchase shares prior to the next occurring purchase date on such date as the ESPP administrator determines in its sole discretion and the participants’ rights under the ongoing offering period(s) shall be terminated;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all outstanding rights shall terminate without being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ESPP administrator will have the authority to amend, suspend or terminate the ESPP, although shareholder approval will be required for any amendment that changes the type of shares that may be sold under the ESPP (other than adjustments in connection with corporate transactions) or changes the corporations or classes of corporations whose employees are eligible to participate in the ESPP. The ESPP is not subject to a specific 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Investment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all employees, including management, with a non-withdrawable amount, or NWA, on the eToro platform through our employee investment plan which enables employees to gain a better understanding of the eToro platform, improves financial literacy and creates higher engagement with the Company through participation in our employee investment plan. Certain employees may be granted additional credits to their outstanding NWA for special recognition on an ad-hoc basis. Each employee’s investment account losses are offset on an annual basis. The profits earned on the trading platform in excess of the NWA, if any, can be withdrawn by an employee on a monthly basis. Ten percent of the employee’s outstanding NWA balance as of March 31 of the relevant year becomes vested each year and, subject to the terms and conditions of the plan, can be withdrawn by an employee who has completed more than six months of employment. Employees who have completed five years of continuous employment with us that wish to exercise any outstanding and vested options may withdraw profits from the account in the form of a bonus payment in order to fund the exercise price associated with their vested options.</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record payroll expense in respect of the NWA over the employee’s vesting period and the profits earned by the employee. Payroll expenses recorded in respect of the employee investment plan are $10.7 million, $8.0 million and $5.7 million for the years ended December 31, 2025, December 31, 2024 and December 31, 2023, respectively. As of December 31, 2025 and December 31, 2024, the liability to employees in respect of the investment plan is $50.7 million and $43.4 million respectively, included in accrued expenses and other payables.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adopted a compensation clawback policy to comply with SEC and Nasdaq listing rules implementing the requirements of the Dodd-Frank Wall Street Reform and Consumer Protection Act. Under the policy, we are required in certain situations to recoup incentive-based compensation paid or payable to certain of our current or former executive officers in the event of an accounting restatement. A copy of our clawback policy is filed as Exhibit 97.1 to this annual report.</w:t>
      </w:r>
    </w:p>
    <w:p>
      <w:pPr>
        <w:spacing w:after="0" w:line="17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may establish the authorized number of directors from time to time by resolution. Our board currently consists of seven members.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determined that each of Santo Politi, Avner Stepak, Eddy Shalev, Laura Unger and Lior Shemesh qualify as independent directors in accordance with the rules of Nasdaq. Under the rules of Nasdaq,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w:t>
      </w:r>
    </w:p>
    <w:p>
      <w:pPr>
        <w:spacing w:after="0" w:line="18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addition, under the rules of Nasdaq, our board was required to make a subjective determination as to whether each director has a material relationship with us, either directly or as a partner, shareholder or officer of an organization that has a relationship with us. Our board conducted the materiality analysis and considered relationships between each director and us, our principal shareholders and our financial shareholders, as applicable, as well as all other relevant facts and circumstances. Our board reviewed and discussed information provided by the directors and us with regard to each director’s relationships with us, our principal shareholders, our financial shareholders and our management, including any directorships held in companies affiliated with us. In the opinion of our board, none of Santo Politi, Avner Stepak, Eddy Shalev, Laura Unger and Lior Shemesh have a material relationship with us and no relationships exist that would interfere with the exercise of their independent judgment in carrying out the responsibilities of a director.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our A&amp;R memorandum and articles, the authorized number of directors will be fixed by our board from time to time in accordance with our A&amp;R memorandum and articles. Pursuant to our A&amp;R memorandum and articles, the directors of our board will be elected by our shareholders at our annual meeting of shareholders (except for situations in which our board fills a vacancy, as discussed below). Pursuant to our A&amp;R memorandum and articles, the positions of chairman of our board and Chief Executive Officer may be held by the same person.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accordance with our A&amp;R memorandum and articles, our board is divided into three classes, as nearly equal in number as possible, designated Class I, Class II and Class III. Class I directors will initially serve until our first annual meeting of shareholders following the closing of our initial public offering; Class II directors will initially serve until our second annual meeting of shareholders following the closing of our initial public offering; and Class III directors will initially serve until our third annual meeting of shareholders following the closing of our initial public offering. Commencing with our first annual meeting of shareholders following the closing of our initial public offering, directors of each class the term of which is then expiring will be elected to hold office for a three-year term and until the election and qualification of their respective successors in office. As of the date of this annual report, (i) Class I directors consists of Eddy Shalev and Laura Unger, (ii) Class II directors consists of Avner Stepak, Santo Politi and Lior Shemesh and (iii) Class III directors consists of Yoni Assia and Ronen Assia. In case of any increase or decrease, from time to time, in the number of directors, the number of directors in each class will be apportioned by our board as nearly equal as possible. No decrease in the number of directors will shorten the term of any incumbent directors.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A&amp;R memorandum and articles allow our board to appoint by resolution of our board any person to be a director either to fill (i) a vacancy resulting from death, resignation, disqualification, removal or other causes or (ii) any newly created directorship resulting from any increase in the number of directors. Where our board appoints a person as a director to fill such vacancy or newly created directorship, the term will not exceed the term that remained when the director whose departure from our board created such vacancy ceased to hold office or until the next annual general meeting (where such appointment will be approved by the shareholders), whichever is later.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A&amp;R memorandum and articles provide that our board may elect a chairman and determine the period for which he or she is to hold such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Nasdaq rules, a foreign private issuer may follow its home country practice in lieu of certain corporate governance requirements, including the requirement to have a majority of its board consist of independent directors. The British Virgin Islands Business Companies Act of 2004, as revised (the “Companies Act”) does not require that a majority of our board consist of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 Director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approved by our board, for so long as the same person serves both as our chief executive officer and chairman of the board, the non-executive board members will select a lead independent director from among the independent directors of our board. If at any meeting of the board, the lead independent director is not present, a majority of the independent members of the board present will select an independent member of the board to act as lead independent director for the purpose and duration of such meeting. The authorities and responsibilities of the lead independent director include, but are not limited to, the following:</w:t>
      </w:r>
    </w:p>
    <w:p>
      <w:pPr>
        <w:spacing w:after="0" w:line="18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at which the chairman is not present, including executive sessions of the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chairman and the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recommend that the board retain consultants or advisers that report directly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information sent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meeting agendas for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meeting schedules have sufficient time for discussion of all agenda items;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the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major shareholders, ensuring that he is available for consultation and direct communication consistent with the policy of the board with respect to communication with shareholders.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Yoni Assia serves as our Chairman of the Board of Directors and Chief Executive Officer, the non-executive board members elected Avner Stepak to be the Lead Independent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has two standing committees: the Audit and Risk Committee and the Compensation, Nominating and Governance Committee. Each committee is governed by a charter that is available on our website at https://investors.etoro.com/corporate-governance/documents-charters.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members of our Audit and Risk Committee are Santo Politi, Avner Stepak, Eddy Shalev, Laura Unger and Lior Shemesh. The chairman of the Audit and Risk Committee is Avner Stepak. Our board has determined that each member of our Audit and Risk Committee qualifies as an independent director under the corporate governance standards of Nasdaq and the independence requirements of Rule 10A-3 of the Exchange Act. Each member of our Audit and Risk Committee also meets the financial literacy requirements of Nasdaq. In addition, our board has determined that each of Santo Politi, Avner Stepak, Eddy Shalev and Lior Shemesh qualifies as an “audit committee financial expert” as such term is defined in Item 407(d)(5) of Regulation S-K.</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 and Risk Committee is responsible, among its other duties and responsibilities, for overseeing our accounting and financial reporting processes, audits of financial statements, qualifications and independence of the independent registered public accounting firm, the effectiveness of internal control over financial reporting and the performance of the internal audit function and independent registered public accounting firm. The Audit and Risk Committee reviews and assesses the qualitative aspects of our financial reporting, processes to manage business and financial risks, and compliance with significant applicable legal, ethical and regulatory requirements. The Audit and Risk Committee is directly responsible for the appointment, compensation, retention and oversight of the independent registered public accounting firm, and for assisting our board in overseeing and monitoring (1) the quality and integrity of our financial statements, (2) our 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Nominating and Governance Committee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members of our Compensation, Nominating and Governance Committee are Santo Politi, Avner Stepak and Eddy Shalev. The Chairman of the Compensation, Nominating and Governance Committee is Eddy Shalev.</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Nominating and Governance Committee is responsible, among its other duties and responsibilities, for reviewing and approving all forms of compensation to be provided to, and employment agreements with, our and our subsidiaries’ executive officers and directors, establishing our and our subsidiaries’ general compensation policies and reviewing, approving and overseeing our and our subsidiaries’ administration of the employee benefits plans.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Nominating and Governance Committee is also responsible for (i) overseeing and assisting our board in reviewing and recommending nominees for election as directors, (ii) assessing the performance of the members of our board and (iii) establishing and maintaining effective corporate governance policies and practices, including, but not limited to, developing and recommending to our board a set of corporate governance guidelines applicable to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1,520 employees and subcontractors with 45 located in the United States, 792 in Israel, 270 in Cyprus and 413 across 23 other countries.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our employment agreements are governed by local labor laws and, where applicable, the relevant collective bargaining agreements (CBA) which may dictate matters such as working hours, treatment of family leave, pension rights and vacation entitlement, depending on the CBA in question. CBAs apply to employees based in Belgium.</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our Israeli employees, Israeli labor laws govern the length of the workday, minimum wages for employees, procedures for hiring and dismissing employees, determination of severance pay, annual leave, sick days, advance notice of termination of employment, equal opportunity and anti-discrimination laws and other conditions of employment. Subject to certain exceptions, Israeli law generally requires severance pay upon the retirement, death or dismissal of an employee, and requires us and our employees to make payments to the National Insurance Institute, which is similar to the U.S. Social Security Administration. Our Israeli employees have pension plans that comply with the applicable Israeli legal requirements, and we make monthly contributions to severance pay funds for all Israeli employees, which cover potential severance pay obligations.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Extension orders issued by the Israeli Ministry of Economy and Industry apply to our employees in Israel and affect matters such as, living adjustments to salaries, length of working hours and week, recuperation pay, travel expenses, and pension rights. We have never experienced labor-related work stoppages or strikes and believe that our relations with our employees are satisfactory.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w:t>
      </w:r>
      <w:r>
        <w:rPr>
          <w:rFonts w:ascii="Times New Roman" w:cs="Times New Roman" w:eastAsia="Times New Roman" w:hAnsi="Times New Roman"/>
          <w:sz w:val="18"/>
          <w:szCs w:val="18"/>
          <w:i w:val="1"/>
          <w:iCs w:val="1"/>
          <w:color w:val="auto"/>
        </w:rPr>
        <w:t>Major Shareholders</w:t>
      </w:r>
      <w:r>
        <w:rPr>
          <w:rFonts w:ascii="Times New Roman" w:cs="Times New Roman" w:eastAsia="Times New Roman" w:hAnsi="Times New Roman"/>
          <w:sz w:val="18"/>
          <w:szCs w:val="18"/>
          <w:color w:val="auto"/>
        </w:rPr>
        <w:t>” in Item 7.A below. For information as to our equity incentive plans, see “</w:t>
      </w: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“2025 Employee Share Purchase Plan</w:t>
      </w:r>
      <w:r>
        <w:rPr>
          <w:rFonts w:ascii="Times New Roman" w:cs="Times New Roman" w:eastAsia="Times New Roman" w:hAnsi="Times New Roman"/>
          <w:sz w:val="18"/>
          <w:szCs w:val="18"/>
          <w:color w:val="auto"/>
        </w:rPr>
        <w:t>” in Item 6.B above.</w:t>
      </w:r>
    </w:p>
    <w:p>
      <w:pPr>
        <w:spacing w:after="0" w:line="15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common shares and Class B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 by:</w:t>
      </w:r>
    </w:p>
    <w:p>
      <w:pPr>
        <w:spacing w:after="0" w:line="20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who is the beneficial owner of 5% or more of our outstanding Class A common shares or Class B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individually;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February 20, 2026. Unless otherwise indicated, we believe that all persons named in the table have sole voting and investment power with respect to all Class A common shares and/or Class B common shares beneficially owned by them.</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our Class A common shares and Class B common shares beneficially owned is determined in accordance with Rule 13d-3 of the Exchange Act, and the information is not necessarily indicative of beneficial ownership for any other purpose. Under such rule, beneficial ownership includes any of our Class A common shares or Class B common shares as to which the holder has sole or shared voting power or investment power and also any of our Class A common shares or Class B common shares which the holder has the right to acquire within 60 days of through the exercise of any option, warrant or any other right. Because Class B common shares are entitled to ten votes each, as compared to one vote each for Class A common shares, the column entitled “Percentage of Voting Power” reflects the overall voting power of a given shareholder based on the composition of his, her or its share ownership.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shareholder, director and executive officer is c/o eToro Group Ltd., 30 Sheshet Hayamim St., Bnei Brak, Israel 5120261.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59"/>
        </w:trPr>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8"/>
              </w:rPr>
              <w:t>Class A Common Shares</w:t>
            </w:r>
          </w:p>
        </w:tc>
        <w:tc>
          <w:tcPr>
            <w:tcW w:w="27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Class B Common Shares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63"/>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Name of Beneficial Owner </w:t>
            </w:r>
            <w:r>
              <w:rPr>
                <w:rFonts w:ascii="Times New Roman" w:cs="Times New Roman" w:eastAsia="Times New Roman" w:hAnsi="Times New Roman"/>
                <w:sz w:val="29"/>
                <w:szCs w:val="29"/>
                <w:b w:val="1"/>
                <w:bCs w:val="1"/>
                <w:color w:val="auto"/>
                <w:vertAlign w:val="superscript"/>
              </w:rPr>
              <w:t>(1)</w:t>
            </w: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tcBorders>
              <w:top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(2)</w:t>
            </w:r>
          </w:p>
        </w:tc>
        <w:tc>
          <w:tcPr>
            <w:tcW w:w="280" w:type="dxa"/>
            <w:vAlign w:val="bottom"/>
          </w:tcPr>
          <w:p>
            <w:pPr>
              <w:spacing w:after="0"/>
              <w:rPr>
                <w:sz w:val="22"/>
                <w:szCs w:val="22"/>
                <w:color w:val="auto"/>
              </w:rPr>
            </w:pPr>
          </w:p>
        </w:tc>
        <w:tc>
          <w:tcPr>
            <w:tcW w:w="13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(2)</w:t>
            </w:r>
          </w:p>
        </w:tc>
        <w:tc>
          <w:tcPr>
            <w:tcW w:w="280" w:type="dxa"/>
            <w:vAlign w:val="bottom"/>
          </w:tcPr>
          <w:p>
            <w:pPr>
              <w:spacing w:after="0"/>
              <w:rPr>
                <w:sz w:val="22"/>
                <w:szCs w:val="22"/>
                <w:color w:val="auto"/>
              </w:rPr>
            </w:pPr>
          </w:p>
        </w:tc>
        <w:tc>
          <w:tcPr>
            <w:tcW w:w="1440" w:type="dxa"/>
            <w:vAlign w:val="bottom"/>
            <w:gridSpan w:val="2"/>
          </w:tcPr>
          <w:p>
            <w:pPr>
              <w:jc w:val="center"/>
              <w:ind w:right="340"/>
              <w:spacing w:after="0" w:line="256" w:lineRule="exact"/>
              <w:rPr>
                <w:sz w:val="20"/>
                <w:szCs w:val="20"/>
                <w:color w:val="auto"/>
              </w:rPr>
            </w:pPr>
            <w:r>
              <w:rPr>
                <w:rFonts w:ascii="Times New Roman" w:cs="Times New Roman" w:eastAsia="Times New Roman" w:hAnsi="Times New Roman"/>
                <w:sz w:val="18"/>
                <w:szCs w:val="18"/>
                <w:b w:val="1"/>
                <w:bCs w:val="1"/>
                <w:color w:val="auto"/>
                <w:w w:val="94"/>
              </w:rPr>
              <w:t>Percentage</w:t>
            </w:r>
            <w:r>
              <w:rPr>
                <w:rFonts w:ascii="Times New Roman" w:cs="Times New Roman" w:eastAsia="Times New Roman" w:hAnsi="Times New Roman"/>
                <w:sz w:val="29"/>
                <w:szCs w:val="29"/>
                <w:b w:val="1"/>
                <w:bCs w:val="1"/>
                <w:color w:val="auto"/>
                <w:w w:val="94"/>
                <w:vertAlign w:val="superscript"/>
              </w:rPr>
              <w:t>(3)</w:t>
            </w:r>
          </w:p>
        </w:tc>
      </w:tr>
      <w:tr>
        <w:trPr>
          <w:trHeight w:val="216"/>
        </w:trPr>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Spark Capital II, L.P.</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7,118,015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BRM Group Ltd.</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2,866,335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3,213,476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23.39%</w:t>
            </w:r>
          </w:p>
        </w:tc>
        <w:tc>
          <w:tcPr>
            <w:tcW w:w="144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9.99%</w:t>
            </w:r>
            <w:r>
              <w:rPr>
                <w:rFonts w:ascii="Times New Roman" w:cs="Times New Roman" w:eastAsia="Times New Roman" w:hAnsi="Times New Roman"/>
                <w:sz w:val="29"/>
                <w:szCs w:val="29"/>
                <w:color w:val="auto"/>
                <w:vertAlign w:val="superscript"/>
              </w:rPr>
              <w:t>(6)</w:t>
            </w:r>
          </w:p>
        </w:tc>
      </w:tr>
      <w:tr>
        <w:trPr>
          <w:trHeight w:val="256"/>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SBT Venture Fund I</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2,509,946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CM SPC on behalf of CM Equities SP</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4,421,953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Yoni Assia</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3,155,094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3,810,416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27.73%</w:t>
            </w:r>
          </w:p>
        </w:tc>
        <w:tc>
          <w:tcPr>
            <w:tcW w:w="144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9.99%</w:t>
            </w:r>
            <w:r>
              <w:rPr>
                <w:rFonts w:ascii="Times New Roman" w:cs="Times New Roman" w:eastAsia="Times New Roman" w:hAnsi="Times New Roman"/>
                <w:sz w:val="29"/>
                <w:szCs w:val="29"/>
                <w:color w:val="auto"/>
                <w:vertAlign w:val="superscript"/>
              </w:rPr>
              <w:t>(6)</w:t>
            </w: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Meron Shani</w:t>
            </w:r>
            <w:r>
              <w:rPr>
                <w:rFonts w:ascii="Times New Roman" w:cs="Times New Roman" w:eastAsia="Times New Roman" w:hAnsi="Times New Roman"/>
                <w:sz w:val="29"/>
                <w:szCs w:val="29"/>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70,813</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75,352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Hedva Ber</w:t>
            </w:r>
            <w:r>
              <w:rPr>
                <w:rFonts w:ascii="Times New Roman" w:cs="Times New Roman" w:eastAsia="Times New Roman" w:hAnsi="Times New Roman"/>
                <w:sz w:val="29"/>
                <w:szCs w:val="29"/>
                <w:color w:val="auto"/>
                <w:vertAlign w:val="superscript"/>
              </w:rPr>
              <w:t>(11)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30,660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Ronen Assia</w:t>
            </w:r>
            <w:r>
              <w:rPr>
                <w:rFonts w:ascii="Times New Roman" w:cs="Times New Roman" w:eastAsia="Times New Roman" w:hAnsi="Times New Roman"/>
                <w:sz w:val="29"/>
                <w:szCs w:val="29"/>
                <w:color w:val="auto"/>
                <w:vertAlign w:val="superscript"/>
              </w:rPr>
              <w:t>(12)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1,017,351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1,321,270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6.97%</w:t>
            </w:r>
          </w:p>
        </w:tc>
      </w:tr>
      <w:tr>
        <w:trPr>
          <w:trHeight w:val="256"/>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Santo Politi</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7,169,574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Avner Stepak</w:t>
            </w:r>
            <w:r>
              <w:rPr>
                <w:rFonts w:ascii="Times New Roman" w:cs="Times New Roman" w:eastAsia="Times New Roman" w:hAnsi="Times New Roman"/>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89,348</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104,650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Eddy Shalev</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496,779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642,198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r>
      <w:tr>
        <w:trPr>
          <w:trHeight w:val="257"/>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Laura Unger</w:t>
            </w:r>
            <w:r>
              <w:rPr>
                <w:rFonts w:ascii="Times New Roman" w:cs="Times New Roman" w:eastAsia="Times New Roman" w:hAnsi="Times New Roman"/>
                <w:sz w:val="29"/>
                <w:szCs w:val="29"/>
                <w:color w:val="auto"/>
                <w:vertAlign w:val="superscript"/>
              </w:rPr>
              <w:t>(15)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Lior Shemesh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(9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12,030,619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5,986,386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43.57%</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35.21%</w:t>
            </w:r>
          </w:p>
        </w:tc>
      </w:tr>
    </w:tbl>
    <w:p>
      <w:pPr>
        <w:spacing w:after="0" w:line="198"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 of our outstanding Class A common shares, Class B common shares or combined voting power, as applicable.</w:t>
      </w:r>
    </w:p>
    <w:p>
      <w:pPr>
        <w:spacing w:after="0" w:line="27" w:lineRule="exact"/>
        <w:rPr>
          <w:sz w:val="20"/>
          <w:szCs w:val="20"/>
          <w:color w:val="auto"/>
        </w:rPr>
      </w:pPr>
    </w:p>
    <w:p>
      <w:pPr>
        <w:jc w:val="both"/>
        <w:ind w:left="3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and subject to applicable community property laws, we believe based on the information provided to us that the persons named in the table have sole voting and investment power with respect to all Class A common shares and Class B common shares beneficially owned by them.</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outstanding shares are based on 66,806,751 Class A common shares and 13,739,582 Class B common shares, issued and outstanding as of February 20, 2026.</w:t>
      </w:r>
    </w:p>
    <w:p>
      <w:pPr>
        <w:jc w:val="both"/>
        <w:ind w:left="3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shares possess ten votes per share, whereas Class A common shares possess one vote per share. Both classes of shares vote together on all matters presented to our shareholders. As such, we have provided the percentage of combined voting power for each shareholder listed in the table.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13D/A (Amendment No. 1) filed with the SEC on November 13, 2025, represents our Class A common shares and Class B common shares held by Spark Capital II, L.P. (“SC II”), Spark Capital Founders’ Fund II, L.P. (“SCFF II”), Spark Management Partners II, LLC (“SMP II GP”), Spark Capital Partners, LLC (“SCP”) (each, a “Spark Entity”) , and Santo Politi. Spark Capital Growth Fund II, L.P. (“SCGF II”), Spark Capital Growth Founders’ Fund II, L.P. (“SCGFF II”), Spark Growth Management Partners II, LLC (“SGMP II GP”), Spark Capital Growth Fund III, L.P. (“SCGF III”), Spark Capital Growth Founders’ Fund III, L.P. (“SCGFF III”), and Spark Growth Management Partners III, LLC (“SGMP III GP”) effected pro rata distributions of all of their shares on November 11, 2025, and no longer hold any of our Shares. SMP II GP is the general partner of SC II and SCFF II. Santo Politi, who is one of our directors is the managing member of SMP II GP. Santo Politi is also a managing member of SCP. The managing members of each general partner make investment and voting decisions based on a majority vote. To the extent Mr. Santo Politi may be deemed to have beneficial ownership over the shares beneficially owned by any Spark Entity, he expressly disclaims such beneficial ownership. The business address of each of the foregoing persons is 200 Claredon Street, Floor 59, Boston, Massachusetts 02116. Please see Schedule 13D/A (Amendment No. 2) filed with the SEC on February 26, 2026, for changes made to these holdings after February 20, 2026.</w:t>
      </w:r>
    </w:p>
    <w:p>
      <w:pPr>
        <w:spacing w:after="0" w:line="4"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August 25, 2025, represents our Class A common shares and Class B common shares held by BRM Group Ltd., and its affiliated entities A.B.Y.Finance (eToro) 21, LP, Eli Barkat Ltd. and Yuval Rakavi Ltd. Investment and voting power of the shares held by each of the foregoing entities is exercised by the executives of BRM Group Ltd., who are Arie Nachmias, Chief Financial Officer, and Eli Barkat, Active Chairman. The business address of each of the foregoing persons is 10 Nissim Aloni St., Tel Aviv, Israel.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jc w:val="both"/>
        <w:ind w:left="340" w:hanging="332"/>
        <w:spacing w:after="0" w:line="257"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that exceed 9.99% of our combined voting rights (the “Excess Shares”) are deemed not to have any voting rights and/or any rights to receive distributions from us, pursuant to our A&amp;R memorandum and articles. See “Exhibit 2.1—Description of the Registrant’s Securities Registered Pursuant to Section 12 of the Securities Exchange Act of 1934, as Amended—Voting Requirement”.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Class A common shares held by SBT Venture Fund I, L.P. (“SBT”). SBT is governed by its general partner, FRV I, GP (“FRV I”), which is governed by a board of directors consisting of three members, none of whom possesses control. The majority limited partner of SBT is Digital Technology LLC, a wholly-owned subsidiary of JSC Sberbank of Russia, a Russian financial institution, which is subject to U.S., U.K., E.U. and BVI sanctions (the “Sanctions”). As a result of the Sanctions and as provided under the A&amp;R memorandum and articles, SBT is restricted from exercising its voting rights in us, transferring its shares and from receiving new shares and distributions or dividends (the “Sanctions Restrictions”) as long as it is subject to the Sanctions Restrictions. Accordingly, SBT did not receive, and will not receive, as long as it is subject to the Sanctions Restrictions, 120,606 Class A common shares in connection with the conversion contemplated under the terms of that certain Advanced Investment Agreement, entered into in February 2021, and 2,630,552 Class B common shares that would have been distributed with respect to its Class A common shares (including the aforementioned 120,606 Class A shares) pursuant to the Class B distribution and that will be issued to SBT if and when it is no longer subject to the Sanctions Restrictions. The registered office address of SBT is c/o FFP (Corporate Services) Limited, 2nd Floor Harbour Centre, 159 Mary Street, George Town, Grand Cayman, KY1-9906, Cayman Islands and of FRV I is c/o AIF Corporate Services Ltd, Piccadilly Centre, 28 Elgin Avenue, Suite 201, PO Box 2570, George Town, KY1-1103, Cayman Islands.</w:t>
      </w:r>
    </w:p>
    <w:p>
      <w:pPr>
        <w:spacing w:after="0" w:line="4"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August 4, 2025, represents our Class A common shares and Class B common shares held by CM SPC on behalf of CM Equities SP. Investment and voting power of the shares is exercised by the board of directors of CM SPC, who are Guo Yifan, Xie Fang and Zhao Zhaoran. The business address of each of the foregoing persons is Suites 2803-04, 28/F, South Island Place, 8 Wong Chuk Hang Road, Hong Kong.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419,227 of our Class A common shares held by Yoni Assia, (ii) 877,950 of our Class B common shares held by Yoni Assia, (iii) 932,466 of our Class A common shares and 932,466 of our Class B common shares subject to options held by Yoni Assia that are exercisable within 60 days of February 20, 2026 and (iv) 1,803,401 of our Class A common shares and 2,000,000 of our Class B common shares subject to options that are held by Capital V5 PTE. LTD., a company wholly-owned by Yoni Assia, that are exercisable within 60 days of February 20 , 2026. Mr. Yoni Assia’s holding excludes (x) 7,315 of our Class A common shares and 73,544 of our Class B common shares held by iAngels Technologies L.P. and its affiliated entities (together, “iAngels”), whose Chief Executive Officer, director and owner is Yoni’s spouse and (y) 500,000 of our Class A common shares and 500,000 of our Class B common shares held by Raid 5 Ltd. on behalf of Pentagon V5 Trust for the benefit of Yoni Assia’s minor children, which investment power and voting power is exercised by a third party trustee. To the extent Mr. Yoni Assia may be deemed to have beneficial ownership over any shares beneficially owned by iAngels and Raid 5 Ltd. on behalf of Pentagon V5 Trust, he expressly disclaims such beneficial ownership.</w:t>
      </w:r>
    </w:p>
    <w:p>
      <w:pPr>
        <w:spacing w:after="0" w:line="1" w:lineRule="exact"/>
        <w:rPr>
          <w:rFonts w:ascii="Times New Roman" w:cs="Times New Roman" w:eastAsia="Times New Roman" w:hAnsi="Times New Roman"/>
          <w:sz w:val="17"/>
          <w:szCs w:val="17"/>
          <w:color w:val="auto"/>
        </w:rPr>
      </w:pPr>
    </w:p>
    <w:p>
      <w:pPr>
        <w:ind w:left="340" w:right="2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70,813 of our Class A common shares and 75,352 of our Class B common shares subject to options held by Meron Shani that are exercisable within 60 days of February 20, 2026.</w:t>
      </w:r>
    </w:p>
    <w:p>
      <w:pPr>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30,660 of our Class A common shares and 32,500 of our Class B common shares subject to options held by Hedva Ber that are exercisable within 60 days of February 20, 2026.</w:t>
      </w: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398,849 of our Class A common shares held by Ronen Assia, (ii) 702,768 of our Class B common shares held by Ronen Assia and (iii) 618,502 of our Class A common shares and 702,768 of our Class B common shares subject to options held by Ronen Assia that are exercisable within 60 days of February 20, 2026.</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60,646 of our Class A common shares and 70,802 of our Class B common shares subject to options held by Avner Stepak that are exercisable within 60 days of February 20, 2026, (ii) 28,702 of our Class A common shares held by Shira 10 Strategies Ltd. (“Shira 10”), a company that is controlled by Avner Stepak and (iii) 33,848 of our Class B common shares held by Shira 10.</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 of our Class A common shares and 10,000 of our Class B common shares subject to options held by Eddy Shalev that are exercisable within 60 days of February 20, 2026, (ii) 486,779 of our Class A common shares held by Levera S.A. (“Levera”), a company that is wholly owned by Eddy Shalev and (iii) 632,198 of our Class B common shares held by Levera. Please see Form 144 filed with the SEC on February 26, 2026, for changes made to these holdings after February 20, 2026.</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 of our Class A common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Significant Changes in Ownership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 the course of 2025, there was a decrease in the percentage ownership of Andalusian Private Capital, LP, Andalusian SPV III, LP and Turkoman Partners, LP from 11.26% to 0%, based on Schedule 13G/A filed with the SEC on January 8, 2026.</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other significant change in the percentage ownership held by any major shareholder during the past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major shareholders listed above had or have voting rights with respect to their Class A common shares or Class B common shares that are different from the voting rights of other holders of our Class A common shares and Class B common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a review of the information provided to us by our transfer agent, as of February 20, 2026, there were 153 registered holders of our Class A common shares, 101 of which are United States registered holders (including Cede &amp; Co., the nominee of the Depository Trust Company), holding approximately 84.5% of our outstanding Class A common shares; and there were 128 registered holders of our Class B common shares, 100 of which are United States registered holders, holding approximately 7.8% of our outstanding Class B common shares. The number of record holders in the United States is not representative of the number of beneficial holders nor is it representative of where such beneficial holders are resident since many of these common shares were held by brokers or other nominees.</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related-party transactions we have entered into since January 1, 2025, with any of the members of our board, executive officers or holders of more than 5% of any class of our voting securities at the time of such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various occasions, we have waived our right of first refusal with respect to transfers by our employees of our shares to iAngels, which acted as a broker on behalf of third parties. Yoni Assia’s spouse is Chief Executive Officer, director and owner of iAngels and Yoni Assia’s father is a director of iAngels.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 with Wix.com</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party to a Services Agreement with Wix.com Ltd. (“Wix”) for the provision of website holdings since 2021. Mr. Lior Shemesh serves as the CFO of Wix and, as of July 2025, also serves as a member of our board. During 2025, the Company paid Wix a total amount of approximately $23,000.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with Base44, Inc.</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engaged with Base44, Inc. (together with any affiliated entity, “Base44”) for the provision of vibe coding services. Base44 is wholly owned by Wix, where Mr. Lior Shemesh serves as CFO, as detailed above. During 2025, the Company paid Base44 a total amount of approximately $64,000.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Services Agreement with Fireblocks Ltd.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party to a Services Agreement with Fireblocks Ltd. (collectively with Fireblocks Inc., “Fireblocks”) for the provision of crypto treasury and trading services and other custom projects. Mr. Santo Politi, a member of our board, controls, directly or indirectly, 10% or more of the equity or voting power of Fireblocks. During 2025, the Company paid Fireblocks a total amount of $166,000.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2023, we entered into the Fourth Amended and Restated Investors’ Rights Agreement with certain of our shareholders, including Spark Capital, SBT, Yoni Assia and Ronen Assia. Concurrent with the closing of our IPO, we and certain of our shareholders, including certain of our shareholders beneficially owning more than 5% of our share capital, certain members of our board and our executive officers, including their affiliated entities, entered into the Fifth Amended and Restated Investors’ Rights Agreement.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Investors’ Right Agreement will terminate when the registrable securities could be sold without restriction under SEC Rule 144 within any 90-day period or five years after the consummation of our IPO.</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Shelf Registration Demand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our registrable securities may request that we file a Form S-1 or F-1 registration statement covering a number of registrable securities that would result in gross proceeds that would, based on an anticipated aggregate offering price, after payment of the underwriting discount, commissions, stock transfer taxes applicable to the sale of registrable securities and certain fees of counsel, exceed $20.0 million. We are not required to effect more than one registrations on Form F-1 or Form S-1 within a 12-month period. We have the right to defer such registration under certain circumstances.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S-3 and F-3 Demand Rights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after becoming eligible, holders of our registrable securities may request that we file a Form S-3 or F-3 registration statement covering a number of registrable securities that would result in gross proceeds that would, based on an anticipated aggregate offering price, after payment of the underwriting discount, commissions, stock transfer taxes applicable to the sale of registrable securities and certain fees of counsel, exceed $3.0 million. We are not required to effect more than one registration on Form F-3 or Form S-3 within a 12-month period. We have the right to defer such registration under certain circumstances.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 a result, whenever we propose to file a registration statement under the Securities Act, the holders of these shares are entitled to notice of the registration and have the right, subject to certain limitations, to include their shares in the registration.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We entered into written employment or service agreements with each of our executive officers. The agreements provide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each individual’s employment or service, as applicable, which have been determined by our board. Each employment and services agreement contains provisions regarding non-competition, non-solicitation, confidentiality of information and assignment of inventions. The enforceability of the non-competition covenants is subject to limitations. Either we or the executive officer may terminate the applicable executive officer’s employment or service by giving advance written notice to the other party. We may also terminate an executive officer’s employment or services agreement for cause (as defined in the applicable employment or services agreement).</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We have granted options to purchase our Class A common shares and Class B common shares to our executive officers and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Exculpation, Indemnification and Insurance. </w:t>
      </w:r>
      <w:r>
        <w:rPr>
          <w:rFonts w:ascii="Times New Roman" w:cs="Times New Roman" w:eastAsia="Times New Roman" w:hAnsi="Times New Roman"/>
          <w:sz w:val="18"/>
          <w:szCs w:val="18"/>
          <w:color w:val="auto"/>
        </w:rPr>
        <w:t>Our A&amp;R memorandum and articles permit us to exculpate, indemnify and insure our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to the fullest extent permitted by law. We have entered into agreements with certain directors and officers, exculpating them from a breach of their duty of care to us to the fullest extent permitted by law and undertaking to indemnify them to the fullest extent permitted by law, subject to certain exceptions, including with respect to liabilities resulting from our initial public offering to the extent that these liabilities are not covered by insurance.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Trading Discounts and Rebates. </w:t>
      </w:r>
      <w:r>
        <w:rPr>
          <w:rFonts w:ascii="Times New Roman" w:cs="Times New Roman" w:eastAsia="Times New Roman" w:hAnsi="Times New Roman"/>
          <w:sz w:val="18"/>
          <w:szCs w:val="18"/>
          <w:color w:val="auto"/>
        </w:rPr>
        <w:t>We grant our executive officers certain trading discounts in their eToro employee accounts, similar to those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employees. Additionally, some of our directors and executive officers who hold a non-employee eToro account, may be granted trading discounts and rebates in that account, subject to meeting certain eligibility criteria, which are substantially similar to third-party customers who are entitled to similar discounts and rebates.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setting forth the policies and procedures for the review and approval or ratification of related person transactions. This policy covers any transaction, arrangement or relationship in which we are a participant, the amount involved exceeds $120,000 and one of our executive officers, directors, or beneficial owners of more than 5% of our Class A common shares (or their immediate family members), each of whom we refer to as a “related person,” has a direct or indirect material interest.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directors and officers serve or may agree to serve as directors or executive officers of other reporting companies or have shareholdings in other reporting companies and, to the extent that such other companies may participate in ventures or transactions in which we may participate, our directors may have an interest in negotiating and concluding terms respecting the extent of such participation. In the event that such an interest arises, such director must disclose the interest to our board. A director who has such an interest, if present at any board meeting at which the matter is to be considered must disclose the general nature of the interest. The disclosure must be brought to the attention of each and every director on our board to constitute proper disclosure.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director is not required to make disclosure if the transaction is between himself and the company and it is in the ordinary course of our business and on usual terms and conditions.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right="6100" w:firstLine="332"/>
        <w:spacing w:after="0" w:line="503" w:lineRule="auto"/>
        <w:tabs>
          <w:tab w:leader="none" w:pos="64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Consolidated Financial Statements</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appended as part of this annual report our consolidated financial statements, including the report of our independent registered public accounting firm, starting at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legal proceedings, claims, and government investigations in the ordinary course of business. See “Item 3.D. Risk Factors—Risks Related to Our Legal and Regulatory Environment” for discussion about certain regulatory investigations. These include proceedings, claims and investigations relating to, among other things, regulatory matters, commercial matters, intellectual property, competition, tax, employment, pricing, discrimination and consumer rights.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Depending on the nature of the proceeding, claim or investigation, we may be subject to monetary damage awards, fines, penalties, or injunctive orders. Furthermore, the outcome of these matters could materially adversely affect our business, financial condition, cash flows and results of operations. The outcomes of legal proceedings, claims, and government investigations are inherently unpredictable and 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financial condition, cash flows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ASIC Proceedings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2023, ASIC commenced proceedings against our subsidiary, eToro AUS Capital Ltd., alleging that it contravened Australia’s law requiring financial institutions to adopt, implement and monitor a target market determination for complex products. ASIC is seeking, among other forms of relief, pecuniary penalties as the court determines to be appropriate. The proceedings are ongoing and the outcome could have adverse impacts on our financial position and reputation in Australia, as well as the potential for a class action lawsuit. See “Item 3.D. Risk Factors—Risks Related to Our Legal and Regulatory Environment—We have been subject to regulatory inquiries, audits, examinations, investigations, actions and settlements and we expect to continue to be subject to such proceedings in the future, which could cause us to incur substantial costs, require us to change our business practices in a materially adverse manner and may be damaging to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do not plan to pay any dividends on our Class A common shares or Class B common shares in the near term. The declaration, payment and amount of any future dividends will be made at the discretion of our board and will depend upon, among other things, the results of operations, cash flows and financial condition, operating and capital requirements, any existing contractual restrictions and other factors as our board considers relevant. There is no assurance that future dividends will be paid, and if dividends are paid, there is no assurance with respect to the amount of any such dividend.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BVI law, our board may only pay dividends if we are solvent before and after the dividend payment in the sense that we will be able to satisfy our liabilities as they become due in the common course of business, and the value of our assets will not be less than the sum of our total liabilities.</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significant changes have occurred since December 31, 2025, except as otherwise disclosed in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shares are quoted on Nasdaq under the symbol “ETOR.”</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“—Offer and Listing Details” above.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copy of our A&amp;R memorandum and articles is incorporated by reference as Exhibit 1.1 to this annual report on Form 20-F. The information called for by this Item is set forth in Exhibit 2.1 to this annual report on Form 20-F and is incorporated by reference into this annual report on Form 20-F.</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registration rights we granted under the Fifth Amended and Restated Investors’ Rights Agreement, please refer to “Item 7.B. Related Party Transactions—Investors’ Rights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our leases, see “Item 4.B. Business Overview—Properties.”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the revolving credit facility, see “Item 5.B. Liquidity and Capital Resources—Debt.”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exchange control restrictions on payment of dividends on the Company’s securities or on the conduct of the Company’s operations in Israel, where the Company’s principal executive offices are located, or the BVI, where the Company is incorporated. There are no BVI laws which impose foreign exchange controls on the Company or that effect the payment of dividends, interest, or other payments to either BVI resident or BVI non-resident holders of the Company’s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Israeli Tax Consequences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and certain Israeli Government programs that benefit us. This section also contains a discussion of material Israeli tax consequences concerning the ownership and disposition of our common shares purchased by investors.</w:t>
      </w: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ARE URGED TO CONSULT THEIR OWN TAX ADVISORS AS TO THE ISRAELI OR OTHER TAX CONSEQUENCES OF THE PURCHASE, OWNERSHIP AND DISPOSITION OF OUR CLASS A COMMON SHARES, INCLUDING, IN PARTICULAR, THE EFFECT OF ANY FOREIGN, STATE OR LOCAL TAXES.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summary does not discuss all aspects of Israeli tax law that may be relevant to a particular investor in light of such investor’s personal investment circumstances or to certain types of investors subject to special treatment under Israeli law. Examples of such investors include residents of Israel, traders in securities who are subject to special tax regimes not covered in this discussion, not-for-profit organizations, pension funds and other exempt institutional investors, partnerships and other transparent entities, and individuals subject to the tax regime for “new immigrants” or “returning residents.” To the extent that this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resident companies are generally subject to corporate tax. The current corporate tax rate, as from 2018, is 23%. However, the effective tax rate payable by a company that derives income from a Preferred Enterprise, Preferred Technological Enterprise, or a Special Preferred Technological Enterprise (as discussed below) may be considerably less.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gains derived by an Israeli resident company are generally subject to the prevailing corporate tax rate. Under Israeli tax law, a corporation will be considered as an “Israeli resident” if it meets one of the following: (a) it was incorporated in Israel; or (b) the control and management of its business are operated from Israel.</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Generally, business losses can be offset against income from any source in the same year. Losses may be carried forward and set-off without time limit against income from any trade or business or capital gains arising in the business, but not against income from any other source. Carrybacks of losses are not allowed.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5729-1969</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Law for the Encouragement of Industry (Taxes), 5729-1969, generally referred to as the Industry Encouragement Law, provides several tax benefits for “Industrial Companies.” We believe that as of December 31, 2025, 2024, and 2023, we qualified as an Industrial Company within the meaning of the Industry Encouragement Law, and we believe that we currently continue to qualify as such.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an Israeli resident company incorporated in Israel, of which 90% or more of its income in any tax year, other than income from certain government loans, is derived from an “Industrial Enterprise” owned by it and located in Israel or in the “Area,” in accordance with the definition in section 3A of the Israeli Income Tax Ordinance (New Version) 1961 (the “Ordinance”). An “Industrial Enterprise” is defined as an enterprise which is held by an Industrial Company whose principal activity in a given tax year is industrial production.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ind w:left="34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225" w:lineRule="exact"/>
        <w:rPr>
          <w:sz w:val="20"/>
          <w:szCs w:val="20"/>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patent, rights to use a patent, and know-how, which are used for the development or advancement of the Industrial Enterprise, over an eight-year period, commencing on the year in which such rights were first exercised;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 commencing on the year of the offering.</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Eligibility for benefits under the Industry Encouragement Law is not contingent upon approval of any governmental authority. There can be no assurance that we will continue to qualify as an Industrial Company or that the benefits described above will be available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Benefits and Grants for Research and Development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6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is carried out by or on behalf of the company seeking such tax deduction.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Ordinance.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Expenditures related to scientific research and development that were not specifically approved by the relevant Israeli government ministry, and therefore do not qualify for this special deduction, are deductible in equal amounts over three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apply to the Israel Innovation Authority (“IIA”) for approval to allow a tax deduction for all research and development expenses during the year incurred. There can be no assurance that such approval will be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5719-1959</w:t>
      </w:r>
    </w:p>
    <w:p>
      <w:pPr>
        <w:spacing w:after="0" w:line="229"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7"/>
          <w:szCs w:val="17"/>
          <w:color w:val="auto"/>
        </w:rPr>
        <w:t>The Law for the Encouragement of Capital Investments, 5719-1959, generally referred to as the Investment Law, provides certain incentives for capital investments in production facilities (or other eligible assets). The following summary focuses on the tax benefits relevant to Preferred Technological Enterprises and Special Preferred Technological Enterprises. Other tracks and benefits under the Investment Law (including those applicable to Approved Enterprises, Beneficiary Enterprises and Preferred Enterprises) may apply to certain companies, but are not described in detail here.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Investment Law was significantly amended effective as of April 1, 2005, as of January 1, 2011, and as of January 1, 2017 (“2017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2017 Amendment introduces new benefits for Technology Enterprises, alongside the existing tax benefits.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Tax Benefits Under the 2017 Amendment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benefits programs under the Investment Law.</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Technological Enterprise” and will thereby enjoy a reduced corporate tax rate of 12% on income that qualifies as “Preferred Technological Income,” as defined in the Investment Law.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after January 1, 2017, for at least NIS 200 million, and the sale receives prior approval from the IIA.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2017 Amendment further provides that a technological company satisfying certain conditions (including a group turnover of at least NIS 10 billion) will qualify as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Technological Enterprise or acquired from a foreign company on or after January 1, 2017, and the sale received prior approval from IIA. A Special Preferred Technological Enterprise that acquires Benefitted Intangible Assets from a foreign company for more than NIS 500 million will be eligible for these benefits for at least 10 years, subject to certain approvals as specified in the Investment Law.</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distributed by a Preferred Technological Enterprise or a Special Preferred Technological Enterprise, paid out of Preferred Technological Income, are generally subject to withholding tax at source at the rate of 20% (and in the case of non-Israeli shareholders – subject to the receipt in advance of a valid certificate from the ITA allowing for such withholding, a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foreign company that holds (solely or together with other foreign companies) 90% or more in the Israeli company, and other conditions are met, the withholding tax rate will be 4%.</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for the year ending on December 31, 2025 and in each of the two years prior to that we qualified as a Special Preferred Technological Enterprise. We have obtained a tax ruling from the Israel Tax Authority regarding our status as a Preferred Technological Enterprise, which is in effect for the years 2018 -2022 and we are in a process to receive a tax ruling as a Special Preferred Technological Enterprise for the years 2023 to 2027. In order to remain eligible for the tax benefits for a “Preferred Technological Enterprise” or “Special Preferred Technological Enterprise”, we must continue to meet certain conditions stipulated in the Investment Law and its regulations, as amended, and under the condition that there will be no change in the business activity and/or in the business model or a significant reduction in the scope of research and development. However, in the future, if these tax benefits are reduced, canceled or discontinued, our Israeli taxable income from the Special Preferred Technological Enterprise or Preferred Technological Enterprise would be subject to regular Israeli corporate tax rates. Additionally, if we increase our activities outside of Israel through acquisitions, for example, our expanded activities might not be eligible for inclusion in future Israeli tax benefit programs.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Implementation of Pillar Two</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 For example, there has been growing pressure in many jurisdictions and from multinational organizations such as the Organization for Economic Cooperation and Development, or the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or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which Israel is also a party) to effect changes to tax treaties which entered into force on July 1, 2018 and through the EU’s “Anti Tax Avoidance” Directives), it is still difficult in some cases to assess to what extent these changes 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Euro 20 billion and profitability of at least 10%) that sell goods and services into countries with little or no local physical presence. We do not expect to be within the scope of the first Pillar. The second pillar, which includes two interlocking rules: (1) the Income Inclusion Rule, and (2) the Undertaxed Payment Rule, that together comprise the Global Anti-Base Erosion, or the GloBE rules, is focused on developing a global minimum tax rate of at least 15% applicable to in-scope multinational enterprises. Israel is one of the 136 jurisdictions that has agreed in principle to the OECD/G20 Inclusive Framework on BEPS, including the Pillar Two framework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Israel has enacted domestic legislation, effective January 1, 2026, implementing a Qualified Domestic Minimum Top-Up Tax (QDMTT), designed to ensure a minimum effective tax rate of 15% on Israeli constituent entities of in-scope multinational enterprise groups, generally calculated in accordance with the Global Anti-Base Erosion (GloBE). As of the date of this report, the IIR and the UTPR have not been enacted under Israeli law. In addition, various jurisdictions in which we operate have adopted, or are in the process of adopting, other elements of Pillar Two (including the Income Inclusion Rule (IIR) and the Undertaxed Profits Rule (UTPR)). We continue to monitor these developments. The adoption and implementation of Pillar Two and other tax reform and tax transparency initiatives may increase audit activity and disputes with tax authorities in the jurisdictions in which we operate and could affect our tax liabilities and effective tax rate. We cannot predict the timing, manner or extent of application of these rules to us, or their impact, if any, on our business, results of operations, cash flows,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Non-Israeli Resident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Inflationary Surplus is currently not subject to tax in Israel. Real Capital Gain is the excess of the total capital gain over the Inflationary Surplus. Generally, Real Capital Gain accrued by individuals on the sale of our common shares will be taxed at the rate of 25%. However, if the individual shareholder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non-Israeli resident who derives capital gains from the sale of shares of an Israeli resident company that were purchased following the listing of the shares of the company for trading on a stock exchange outside of Israel will be exempt from Israeli capital gains tax so long as the shares were not held through a permanent establishment maintained by the non-Israeli resident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 or profits of such non-Israeli corporation, whether directly or indirectly. In addition, such exemption is not applicable to a person whose gains from selling or disposing the shares are deemed to be business income.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a sale of securities by a non-Israeli resident may be exempt from Israeli capital gains tax under the provisions of an applicable tax treaty. For example, under the Convention Between the Government of the United States of America and the Government of the State of Israel with respect to Taxes on Income, as amended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Regardless of whether non-Israeli shareholders may be liable for Israeli capital gains tax on the sale of our common shares, the payment of the consideration for such sale may be subject to withholding of Israeli tax at source and holders of our common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documentation (including, for example, a certificate of residency) or obtain a specific exemption from the Israel Tax Authority confirming their status as non-Israeli residents (and, in the absence of such declarations or exemptions, the Israel Tax Authority may require the purchaser of the shares to withhold tax at source).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on Receipt of Dividends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common shares at the rate of 25% (or 30% in the case such shareholder is considered a “substantial shareholder” at any point in the preceding 12-month period), which will be withheld at source, unless relief is provided in an applicable tax treaty between Israel and the shareholder’s country of residence. However, a distribution of dividends to non-Israeli residents is subject to withholding tax at source at a rate of 20% if the dividend is distributed from income attributed to a Preferred (including Preferred Technological) Enterprise. If the dividend is attributable in part to income derived from a Preferred Enterprise or a Preferred Technological Enterprise, the withholding rate will be a blended rate reflecting the relative portions of the types of income. We cannot assure you that we will designate the profits that we may distribute in a way that will reduce shareholders’ tax liability. Such dividends are generally subject to Israeli withholding tax at a rate of 25% so long as the shares are registered with a nominee company (whether the recipient is a substantial shareholder or not) and 20% if the dividend is distributed from income attributed to a Preferred Enterprise.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a reduced tax rate may be provided under an applicable tax treaty. For example, under the United States-Israel Tax Treaty, the maximum rate of tax withheld at source in Israel on dividends paid to a holder of our common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If dividends are distributed from income attributed to a Preferred Enterprise, or a Preferred Technological Enterprise and the foregoing conditions are met, such dividends are subject to a withholding tax rate of 15% for a shareholder that is a United States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Taxation of Israeli Resident Shareholders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Taxes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Generally, Israeli resident individuals are subject to Israeli capital gains tax on real capital gain derived from the sale of our common shares at a rate of 25%. However, if the individual shareholder is a “substantial shareholder” (generally, a person who holds, directly or indirectly, at least 10% of any of the means of control of the company) at the time of sale or at any time during the preceding 12-month period, such gain will generally be taxed at a rate of 30%. Israeli resident corporations are generally subject to Israeli corporate tax on real capital gain derived from the sale of our common shares at the prevailing corporate tax rate. In each case, a portion of the gain may be treated as “Inflationary Surplus,” which is currently not subject to Israeli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paid to Israeli resident individuals are generally subject to Israeli income tax at a rate of 25%, or 30% if the recipient is a “substantial shareholder” at the time of the distribution or at any time during the preceding 12-month period. Dividends paid to Israeli resident corporations are generally exempt from Israeli corporate tax; however, such exemption is subject to certain limitations, and if such dividends are further distributed to individuals or non-Israeli residents, Israeli withholding tax may apply to such subsequent distributions. Dividends distributed from income attributed to a Preferred Enterprise, a Preferred Technological Enterprise or a Special Preferred Technological Enterprise may be subject to different Israeli withholding tax rules, including as described above. which will be withheld at source.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Surtax</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721,560 for 2026, which amount is linked to the annual change in the Israeli consumer price index (with the exception that based on Israeli new legislation such amount, and certain other statutory amounts will not be linked to the Israeli consumer price index for the years 2025-2027), including, but not limited to, dividends, interest and capital gain. According to new legislation, effective as of January 1, 2025, an additional 2% excess tax is imposed on Capital-Sourced Income (defined as income from any source other than employment income, business income or income from “personal effort”), to the extent that the Individual’s Capital Sourced Income exceeds the specified threshold of NIS 721,560 (and regardless of the employment/business income amount of such individual). This new excess tax will applies, among other things, to income from capital gains, dividends, interest, rental income, or the sale of real property. This amount is adjusted from time to time and, therefore, the applicable threshold in a given year may be different from the amount stated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U.S. Federal Income Tax Considerations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Class A common shares by a U.S. holder (as defined below) that acquires our Class A common shares for cash and holds our Class A common shares as “capital assets” (generally, property held for investment) under the Code. This discussion is based upon existing U.S. federal tax law, which is subject to differing interpretations or change, possibly with retroactive effect, and there can be no assurance that the Internal Revenue Service (the “IRS”) will not assert, or that a court will not sustain a contrary position. This discussion, moreover, does not address the U.S. federal estate, gift or other non-income tax considerations, any minimum tax, the Medicare tax on certain net investment income, or any state, local or non-U.S. tax considerations, relating to the ownership or disposition of our Class A common shares. The following summary does not address all aspects of U.S. federal income taxation that may be important to particular investors in light of their individual circumstances or to persons in special tax considerations such as:</w:t>
      </w:r>
    </w:p>
    <w:p>
      <w:pPr>
        <w:spacing w:after="0" w:line="19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our Class A common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our Class A common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“base erosion and anti-abuse”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our Class A common shares representing 10% or more of our shares (by vote or value);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our Class A common shares through such entities,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summarized below.</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U.S. holder should consult its tax advisor regarding the application of U.S. federal taxation to its particular circumstances, and the state, local, non-U.S., and other tax considerations of the ownership and disposition of our Class A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common shares that is, for U.S. federal income tax purposes,</w:t>
      </w:r>
    </w:p>
    <w:p>
      <w:pPr>
        <w:spacing w:after="0" w:line="27" w:lineRule="exact"/>
        <w:rPr>
          <w:sz w:val="20"/>
          <w:szCs w:val="20"/>
          <w:color w:val="auto"/>
        </w:rPr>
      </w:pPr>
    </w:p>
    <w:p>
      <w:pPr>
        <w:jc w:val="both"/>
        <w:ind w:firstLine="8"/>
        <w:spacing w:after="0" w:line="252" w:lineRule="auto"/>
        <w:tabs>
          <w:tab w:leader="none" w:pos="2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(2) a corporation (or other entity treated as a corporation for U.S. federal income tax purposes) created in, or organized under the laws of, the United States or any state thereof or the District of Columbia, (3) an estate the income of which is subject to U.S. federal income taxation regardless of its source or (4) a trust (A) the administration of which is subject to the primary supervision of a U.S. court and which has one or more U.S. persons who have the authority to control all substantial decisions of the trust or (B) that has otherwise elected to be treated as a U.S. person under the Code and the applicable regulations promulgated by the U.S. Department of the Treasury pursuant to and in respect of provisions of the Code.</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beneficial owner of our Class A common shares, the tax treatment of a partner in the partnership will generally depend upon the status of the partner and the activities of the partnership. Partnerships holding our Class A common shares and partners in such partnerships should consult their tax advisors as to the particular U.S. federal income tax considerations of an investment in our Class A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such as our company, will be a “passive foreign investment company,” or “PFIC,” for U.S. federal income tax purposes, if, in any particular taxable year, either (1) 75% or more of its gross income for such year consists of certain types of “passive” income or (2)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Passive assets are those which give rise to passive income and include assets held for investment, as well as cash, assets readily convertible into cash, and (subject to certain exceptions) working capital.</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market capitalization and the composition of our income, assets, and operations, we believe that we are not a PFIC for the year ended December 31, 2025 and we do not expect to be a PFIC for the current taxable year or for the foreseeable future. No assurance can be given in this regard, however, because the determination as to whether we are a PFIC for any taxable year is a fact-intensive determination that depends, in part, upon the composition and classification of our income and assets, which cannot be made until after the end of a taxable year. Additionally, in estimating the value of our goodwill and other unbooked intangibles, we have taken into account our market capitalization, which could fluctuate. If our market capitalization is less than anticipated or subsequently declines, we may be or become classified as a PFIC for the current taxable year or in future taxable years. Furthermore, because cash is generally treated as passive assets for PFIC purposes, retaining or accumulating cash increases the risk that the Company will be classified as a PFIC. Moreover, the application of the PFIC rules, and the characterization of certain assets under such rules, is unclear in certain respects. The IRS or a court may disagree with our determinations, including the manner in which we value of our assets and the percentage of our assets that are passive assets under the PFIC rules. Accordingly, there can be no assurance that we will not be a PFIC for the current taxable year or for any future taxable year.</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Class A common shares, certain adverse tax consequences could apply to such U.S. holder, discussed below in “—Passive Foreign Investment Company Rules.” Certain elections may be available (including a mark-to-market election) to U.S. holders that may mitigate some of those adverse consequences. You should consult your tax advisors regarding the Company’s PFIC status as well as the U.S. federal income tax consequences of owning and disposing our Class A common shares if we are or become a PFIC.</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Class A common shares” is written on the basis that we will not be or become a PFIC for U.S. federal income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See “Dividend Policy” herein. Any cash distributions (including the amount of any non-U.S. taxes withheld) paid on our Class A common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we will generally report the full amount of any distribution paid as a dividend for U.S. federal income tax purposes. Dividends received on the Class A common shares will not be eligible for the dividends received deduction generally allowed to corporations.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received by individuals and certain other non-corporate U.S. holders may be subject to tax at the lower capital gain tax rate applicable to “qualified dividend income,” provided that certain conditions are satisfied, including that (1) our Class A common shares are readily tradable on an established securities market in the United States or we are eligible for the benefits of the income tax treaty between the United States and Israel, (2) we are neither a PFIC nor treated as such with respect to a U.S. holder (as discussed above) for the taxable year in which the dividend was paid and the preceding taxable year and (3) certain holding period requirements are met. We expect our Class A common shares, which we applied to list on Nasdaq, will be considered readily tradable on an established securities market in the United States, although there can be no assurance that our Class A common shares will be considered or will continue to be considered readily tradable on an established securities market. Each non-corporate U.S. holder is advised to consult its tax advisors regarding the availability of the reduced tax rate applicable to qualified dividend income for any dividends we pay with respect to our Class A common shares.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paid on our Class A common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Class A common shares, but only for a year in which such holder elects to do so for all creditable foreign income taxes. The rules governing the foreign tax credit are complex and their outcome depends in large part on the U.S. holder’s individual facts and circumstances. Accordingly, U.S. holders should consult their tax advisors regarding the availability of the foreign tax credit under their particular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Disposition of Class A common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the sale or other disposition of Class A common shares in an amount equal to the difference between the amount realized upon the disposition and the U.S. holder’s adjusted tax basis in such Class A common shares. A. U.S. holder’s tax basis in the Class A common shares will generally equal the cost of such Class A common shares. Any capital gain or loss will be long-term if the Class A common shares have been held for more than one year. Long-term capital gains of individuals and certain other non-corporate U.S. holders are generally eligible for a reduced rate of taxation. The deductibility of a capital loss may be subject to limitations. Any capital gain or loss generally will be U.S. source gain or loss for U.S. foreign tax credit purposes, which will generally limit the availability of foreign tax credits.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Gains from the sale or other disposition of our Class A common shares will generally be treated as U.S.-source, which may limit the ability to receive a foreign tax credit if there are any foreign taxes imposed on such gain. The rules regarding foreign tax credits and deduction of foreign taxes are complex. U.S. holders should consult their tax advisors regarding the availability of a foreign tax credit or deduction in light of their particular circumstances, including the potential impact of U.S. Treasury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common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common shares) and (ii) any gain realized on the sale or other disposition of Class A common shares. Under the PFIC rules:</w:t>
      </w:r>
    </w:p>
    <w:p>
      <w:pPr>
        <w:spacing w:after="0" w:line="183"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common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Class A common shares and any of our subsidiaries are also PFICs, each of which we refer to as a lower-tier PFIC, such U.S. holder would be treated as owning a proportionate amount (by value) of the shares of such lower-tier PFIC for purposes of the application of these rules. U.S. holders should consult their tax advisors regarding the application of the PFIC rules to any of our subsidiaries.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U.S. Treasury Regulations. For those purposes, we expect that our Class A common shares will be treated as marketable stock upon their listing on Nasdaq, which is a qualified exchange for these purposes. We expect our Class A common shares to qualify as being regularly traded, but no assurances may be given in this regard. If a U.S. holder makes this election with respect to our Class A common shares, the holder will generally (i) include as ordinary income for each taxable year that we are a PFIC the excess, if any, of the fair market value of our Class A common shares held at the end of the taxable year over the adjusted tax basis of such common shares and (ii) deduct as an ordinary loss the excess, if any, of the adjusted tax basis of the common shares over the fair market value of such common shares held at the end of the taxable year, but such deduction will only be allowed to the extent of the amount previously included in income as a result of the mark-to-market election. The U.S. holder’s adjusted tax basis in the common shares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Class A common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a mark-to-market election may 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U.S. holder owns our Class A common shares during any taxable year that we are a PFIC, the holder may have to file an annual IRS Form 8621 (whether or not a mark-to-market election is made). You should consult your tax advisors regarding the U.S. federal income tax consequences of owning and disposing of our Class A common shares if we are or become a PFIC, including the availability and possibility of making a mark-to-market election.</w:t>
      </w:r>
    </w:p>
    <w:p>
      <w:pPr>
        <w:spacing w:after="0" w:line="17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that are applicable to foreign private issuers, and under those requirements file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will be exempt from reporting under short-swing profit recovery provisions contained in Section 16 of the Exchange Act. Although the insider reporting rules under Section 16 of the Exchange Act do not currently apply to our directors and executive officers, absent an exemption from the SEC, effective March 18, 2026, our directors and executive officers will be subject to the insider reporting obligations under Section 16(a) of the Exchange Act, including the requirements to file Forms 3, 4 and 5, pursuant to the Holding Foreign Insiders Accountable Act enacted on December 18, 2025. In addition, we are not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subsequent fiscal year, or such applicable time as required by the SEC, an annual report on Form 20-F containing financial statements audited by an independent registered public accounting firm, and we will submit to the SEC reports on Form 6-K containing unaudited quarterly financial information.</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filings with the SEC are also available to the public through the SEC’s website at http://www.sec.gov. This site contains reports, proxy and information statements, and other information regarding issuers that file electronically with the SEC. The information on that website is not part of this annual report and is not incorporated by reference herein.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our website to distribute company information and make available free of charge a variety of information for investors, including filings with the SEC, in addition to disclosing information via press releases, filings with the SEC, public conference calls, webcasts, X feed (@eToro), Instagram page (@eToro_official) and LinkedIn page. The information disclosed through the foregoing channels could be deemed to be material information and we encourage investors, the media, and others to follow the channels listed above and to review the information disclosed through such channels. In addition, investors may opt in to automatically receive email alerts and other information about eToro when enrolling their email address under the “Stay Up to Date” option at the bottom of https://investors.etoro.com/. Information contained on or accessible through any of the foregoing channels is not incorporated by reference into this annual report.</w:t>
      </w:r>
    </w:p>
    <w:p>
      <w:pPr>
        <w:spacing w:after="0" w:line="18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Credit risk is defined as the risk to earnings or capital arising from an obligor’s failure to meet the terms of any contract or to otherwise fail to perform as agreed. For instance, exposure to a counterparty with the potential to produce a significant amount of capital loss due to a bankruptcy or failure to pay.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following institutional counterparties: clearing providers, liquidity providers and payment service providers, as well as banks with respect to our own assets. We manage the credit risk arising from institutional counterparties by setting exposure limits and monitoring exposure against such limits, reviewing periodic credit reviews, and spreading credit risk across a number of different institutions to diversify risk.</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set principles in order to monitor and manage the credit risk on a real time basis. Management estimates that the credit exposure as of December 31, 2025, 2024 and 2023 is substantially equal to the carrying value of the related assets, as the credit valuation adjustment is de minimis and no impairment has been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Market risk is the risk that fair value or future cash flows of a financial instrument will fluctuate because of changes in market prices. We are exposed to market price risk and foreign currency risk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price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market price risk as a result of our trading activities in derivatives of underlying assets in currencies, commodities, equities and cryptoassets, part of which is naturally hedged as part of the overall market risk management. The exposure is monitored on a group-wide basis and managed using limits on future potential losses from such exposure. Since we hedge our main exposures to users’ positions with third-party counterparties, we do not have significant exposure to the underlying assets detailed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Transactional foreign currency exposures represent risks associated with financial assets or liabilities denominated in currencies other than the functional currency of which is the U.S. dollar. Transaction exposures arise in the normal course of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excess financial liabilities over financial assets that are denominated in currencies other than the U.S. dollar of $50.4 million. As of December 31, 2024, we had excess financial liabilities over financial assets that are denominated in currencies other than the U.S. dollar of $39.9 million. As of December 31, 2023, we had excess over financial liabilities that are denominated in currencies other than the U.S. dollar of $20.8 million.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Foreign currency risk is managed on a group-wide basis. We monitor transactional foreign currency risks, including currency position and future expected exposures. We use non-designated hedges to mitigate the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level of prevailing short-term interest rates affects our profitability because we derive a portion of our revenue and net income from interest earned from users’ leveraged positions, interest on users’ funds held in segregated accounts and interest on our corporate cash and cash equivalents. Higher interest rates increase the amount of the above interest income. In addition, we incur interest expense on margin positions which remain open overnight when we execute margin transactions with counterparties, as well as interest expense on other loans and revolving credit facilities. When short-term interest rates decline, our revenue and net income derived from interest correspondingly decline, which negatively impacts our profitability.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impact on total Net income (loss) that would result from the hypothetical interest rate increases listed therein for each of the periods described therein: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 basis points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with the participation of our Chief Executive Officer and Chief Financial Officer, has evaluated the effectiveness of our disclosure controls and procedures (as defined in Rule 13a-15(e) under the Exchange Act), as of the end of the period covered by this annual report on Form 20-F. Based on such evaluation, each of our Chief Executive Officer and our Chief Financial Officer have concluded that, as of December 31, 2025, our disclosure controls and procedures were effective at the reasonable assurance level.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and implementing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annual report on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Santo Politi, Avner Stepak, Eddy Shalev and Lior Shemesh qualifies as an “audit committee financial expert” as defined by the SEC rules, has the requisite financial experience as defined by Nasdaq corporate governance rules and is “independent” as such term is defined in Rule 10A-3(b)(1)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adopted a corporate Code of Conduct applicable to our executive officers, directors and all other employees. This Code of Conduct is made available to every employee of eToro Group Ltd. and all of its subsidiaries and is also available to investors and members of the public on our website at https://investors.etoro.com/corporate-governance/documents-charters or by contacting our investor relations department. The Code of Conduct includes, in compliance with Section 406 of the Sarbanes-Oxley Act of 2002, our Code of Ethics, which is applicable to our CEO, our CFO and all other senior financial officers. Pursuant to Item 16B of Form 20-F, if a waiver or amendment of the Code of Conduct (including the Code of Ethics) applies to our CEO, CFO or other persons performing similar functions and relates to standards promoting any of the values described in Item 16B(b) of Form 20-F, we will disclose such waiver or amendment on our website within five business days following the date of amendment or waiver in accordance with the requirements of Instruction 4 to such Item 16B. We granted no waivers under our code in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recorded the following fees for professional services rendered by Kost Forer Gabbay &amp; Kasierer, a member of EY Global, an independent registered public accounting firm, for the years ended December 31, 2024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“Audit fees” include fees for the audit of our annual financial statements. This category also includes services that generally the independent accountant provides, such as consents, comfort letters and assistance with and review of documents filed with the SEC.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“Audit-related fees” include fees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acquisitions and other accounting issues that occur from time to time.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fees” include fees for services rendered by our independent registered public accounting firm with respect to government incentives and other matters.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each type of audit, audit-related, tax and other permitted service. The audit committee has delegated the pre-approval authority with respect to audit, audit-related, tax and permitted non-audit services up to a maximum of $500,000 to its chairperson and may in the future delegate such authority to one or more additional members of the audit committee, provided that all decisions by that member to pre-approve any such services must be subsequently reported, for informational purposes only, to the full audit committee. All audit and non-audit services provided by our auditors in 2024 and 2025 were approved in accordance with our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2025, our board of directors approved a share repurchase program of up to $150 million and in February 2026, our board of directors approved an additional $100 million expansion of the previously authorized share repurchase program. As of December 31, 2025, we spent an aggregate of $62.17 million to repurchase 1,568,741 Class A common shares under our share repurchase program. The following table provides information regarding our repurchases of our Class A common shares for each month included in the period covered by this Annual Report on Form 20-F:</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Part</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Value ($US)</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Class A</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Publicly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purchased</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w:t>
            </w:r>
          </w:p>
        </w:tc>
        <w:tc>
          <w:tcPr>
            <w:tcW w:w="0" w:type="dxa"/>
            <w:vAlign w:val="bottom"/>
          </w:tcPr>
          <w:p>
            <w:pPr>
              <w:spacing w:after="0"/>
              <w:rPr>
                <w:sz w:val="1"/>
                <w:szCs w:val="1"/>
                <w:color w:val="auto"/>
              </w:rPr>
            </w:pPr>
          </w:p>
        </w:tc>
      </w:tr>
      <w:tr>
        <w:trPr>
          <w:trHeight w:val="27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3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Plan</w:t>
            </w:r>
            <w:r>
              <w:rPr>
                <w:rFonts w:ascii="Times New Roman" w:cs="Times New Roman" w:eastAsia="Times New Roman" w:hAnsi="Times New Roman"/>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16"/>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318,390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318,390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$ 137,407,134.24</w:t>
            </w: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1,285,566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1,285,566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87,826,746.28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2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value that may yet be purchased under the repurchase plan, is calculated as of December 31, 2025, before the increase of the repurchase plan that was approved in February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under Nasdaq corporate governance standards, foreign private issuers, as defined under the Exchange Act, are permitted to follow home country corporate governance practices instead of the corporate governance practices of Nasdaq. Accordingly, we follow certain corporate governance practices of our home country, BVI, in lieu of certain of the corporate governance requirements of Nasdaq, including with respect to the following:</w:t>
      </w:r>
    </w:p>
    <w:p>
      <w:pPr>
        <w:spacing w:after="0" w:line="93" w:lineRule="exact"/>
        <w:rPr>
          <w:sz w:val="20"/>
          <w:szCs w:val="20"/>
          <w:color w:val="auto"/>
        </w:rPr>
      </w:pPr>
    </w:p>
    <w:p>
      <w:pPr>
        <w:jc w:val="both"/>
        <w:ind w:left="660" w:hanging="328"/>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 requirement for shareholder meetings</w:t>
      </w:r>
      <w:r>
        <w:rPr>
          <w:rFonts w:ascii="Times New Roman" w:cs="Times New Roman" w:eastAsia="Times New Roman" w:hAnsi="Times New Roman"/>
          <w:sz w:val="18"/>
          <w:szCs w:val="18"/>
          <w:color w:val="auto"/>
        </w:rPr>
        <w:t>. Whereas under the corporate governance rules of Nasdaq, a quorum requires the presence,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by proxy, of holders of at least 33 1/3% of the total issued outstanding voting power of our shares at each general meeting of shareholders, pursuant to our A&amp;R memorandum and articles, and as permitted under the Companies Act (as defined herein), if the meeting of shareholders was called by our board, a shareholders meeting is duly constituted if, at the commencement of the meeting, there are present in person or by proxy not less than one-fourth of the shares entitled to vote on resolutions of shareholders to be considered at the meeting.</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w:t>
      </w:r>
      <w:r>
        <w:rPr>
          <w:rFonts w:ascii="Times New Roman" w:cs="Times New Roman" w:eastAsia="Times New Roman" w:hAnsi="Times New Roman"/>
          <w:sz w:val="18"/>
          <w:szCs w:val="18"/>
          <w:color w:val="auto"/>
        </w:rPr>
        <w:t>. Whereas the rules of Nasdaq generally require shareholder approval of equity compensation plans and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thereto, we follow BVI practice, which is to have such plans and amendments approved only by the board of directors (or a committee thereof). In addition, rather than follow the rules of Nasdaq requiring shareholder approval for issuances that will result in a change of control of the Company, certain transactions other than a public offering involving issuances of a 20% or more interest in the Company and certain acquisitions of the stock or assets of another company, we follow BVI practice, which does not include similar requirements.</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Annual and Interim Reports</w:t>
      </w:r>
      <w:r>
        <w:rPr>
          <w:rFonts w:ascii="Times New Roman" w:cs="Times New Roman" w:eastAsia="Times New Roman" w:hAnsi="Times New Roman"/>
          <w:sz w:val="18"/>
          <w:szCs w:val="18"/>
          <w:color w:val="auto"/>
        </w:rPr>
        <w:t>. Unlike Nasdaq, which requires listed issuers to make annual reports on Form 20-F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one of a number of specific manners, BVI law does not require us to distribute such reports directly to shareholders, and the generally accepted business practice in BVI is not to distribute such reports to shareholders but to make such reports available through a public website. In addition, we intend to make our annual report on Form 20-F containing audited financial statements available to our shareholders at our offices (in addition to a public website).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directors, officers and employees that is reasonably designed to promote compliance with insider trading laws, rules and regulations, and any listing standards applicable to the Company. A copy of our Insider Trading Policy is filed as Exhibit 11.1 to this annual report.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71"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is centered on management of risks related to our network, product and cloud security, including security measures and controls designed to identify, protect, detect, respond to, and recover from cybersecurity risks. We use the NIST Cybersecurity Framework (NIST CSF) as a guide. This does not imply that we meet any particular technical standards, specifications, or requirements of NIST CSF, only that we use the NIST CSF as a framework to help us identify, assess, and manage cybersecurity risks relevant to our business.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process and shares common methodologies, reporting channels and governance processes that apply across the risk management process to other risk areas, such as compliance and business continuity risks.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aspects of our cybersecurity risk management program include:</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and information;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teams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privacy training and awareness for employees, contractors, incident response personnel, and senior management;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and policy that includes procedures for responding to cybersecurity incidents and defines how security incidents are identified, classified, reported, remediated and mitigated including tabletop exercises and simulations designed to test our incident response protocols and ensure our cross-functional teams (including legal, technical, and communications) can coordinate effectively during a live event;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process for key third-party providers based on our assessment of their respective risk profiles and function.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“Item 3.D. Risk Factors—Risks Related to Technology, Intellectual Property and Data Privacy—Our business could be materially and adversely affected by cyberattacks or security breaches of our platform or data, or those impacting our users or third-party service providers.”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cybersecurity risk as a critical part of its risk oversight function and has delegated to our audit and risk committee oversight of cybersecurity and other information technology risks. Our audit and risk committee oversees management’s implementation of our cybersecurity risk management program, including product and information security.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and risk committee receives periodic updates of our cybersecurity risks and controls from our management members, including the CIO and CISO. In addition, the CIO along with CISO and other relevant managers, update the audit and risk committee, as necessary, regarding cybersecurity incidents they consider significant. Our audit and risk committee also monitors our annual mitigation plan, which includes the results of our annual cybersecurity risk assessment on our information technology. Our audit and risk committee reports to the full Board of directors regarding its activities, including our cyber risk management program.</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management team, our CIO has overall responsibility for assessing and managing our material risks from cybersecurity threats, and is assisted in this regard by the information and security teams. Our CIO has extensive experience in cyber risk management. Prior to joining the Company, our CIO served as VP IT at Playtika. She holds a Bachelor of Science degree in Computer Science.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CIO takes steps to stay informed about and monitor the identification, prevention, detection, protection, mitigation, and remediation of key cybersecurity risks and incidents through various means, which may include briefings with the internal cybersecurity team members and external consultants, threat intelligence and other information obtained from governmental, public or private sources, and alerts and reports that are generated by security tools deployed in the information systems’ environments.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pages F-1 through F-61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Amended and Restated Memorandum and Articles of Association of the Registrant (incorporated by reference to Exhibit 3.1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Registrant’s Report of Foreign Private Issuer on Form 6-K filed with the SEC on May 15,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Fifth Amended Investor Rights Agreement, dated May 5, 2025, by and among the Registrant and the other parties thereto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12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reference to Exhibit 4.1 to the Registrant’s Report of Foreign Private Issuer on Form 6-K filed with the SEC on May 15, 2025)</w:t>
              </w:r>
            </w:hyperlink>
          </w:p>
        </w:tc>
        <w:tc>
          <w:tcPr>
            <w:tcW w:w="98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Indemnification Agreement (incorporated by reference to Exhibit 10.1 to the Registrant’s Registration Statement on Form F-1, as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amended (Registration No. 333-287239)</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eToro Group Ltd. 2007 Employee Share Option Plan (incorporated by reference to Exhibit 10.2 to the Registrant’s Registration Statement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on Form F-1, as amended (Registration No. 333-287239)</w:t>
              </w:r>
            </w:hyperlink>
          </w:p>
        </w:tc>
        <w:tc>
          <w:tcPr>
            <w:tcW w:w="598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eToro Group Ltd. 2021 Share Incentive Plan, as amended (incorporated by reference to Exhibit 4.3 to the Registrant’s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Statement on Form S-8, filed on May 20,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eToro Group Ltd. 2025 Employee Share Purchase Plan (incorporated by reference to Exhibit 4.4 to the Registrant’s Registration Statement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on Form S-8, filed on May 20,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Revolving Credit Facility Agreement, dated as of June 30, 2025, by and among eToro Group Ltd., Deutsche Bank Luxembourg S.A.,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agent and the other parties thereto.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List of subsidiaries of the Registrant</w:t>
            </w:r>
          </w:p>
        </w:tc>
        <w:tc>
          <w:tcPr>
            <w:tcW w:w="7480" w:type="dxa"/>
            <w:vAlign w:val="bottom"/>
            <w:tcBorders>
              <w:bottom w:val="single" w:sz="8" w:color="CCEEFF"/>
              <w:right w:val="single" w:sz="8" w:color="CCEEFF"/>
            </w:tcBorders>
            <w:gridSpan w:val="11"/>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eToro Group Ltd. Insider Trading Policy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tcBorders>
          </w:tcPr>
          <w:p>
            <w:pPr>
              <w:spacing w:after="0"/>
              <w:rPr>
                <w:sz w:val="15"/>
                <w:szCs w:val="15"/>
                <w:color w:val="auto"/>
              </w:rPr>
            </w:pPr>
          </w:p>
        </w:tc>
        <w:tc>
          <w:tcPr>
            <w:tcW w:w="74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c>
          <w:tcPr>
            <w:tcW w:w="2660" w:type="dxa"/>
            <w:vAlign w:val="bottom"/>
            <w:tcBorders>
              <w:top w:val="single" w:sz="8" w:color="CCEE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906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tcBorders>
          </w:tcPr>
          <w:p>
            <w:pPr>
              <w:spacing w:after="0"/>
              <w:rPr>
                <w:sz w:val="15"/>
                <w:szCs w:val="15"/>
                <w:color w:val="auto"/>
              </w:rPr>
            </w:pPr>
          </w:p>
        </w:tc>
        <w:tc>
          <w:tcPr>
            <w:tcW w:w="74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906 of the Sarbanes-Oxley Act of 2002</w:t>
            </w:r>
          </w:p>
        </w:tc>
        <w:tc>
          <w:tcPr>
            <w:tcW w:w="2660" w:type="dxa"/>
            <w:vAlign w:val="bottom"/>
            <w:tcBorders>
              <w:top w:val="single" w:sz="8" w:color="CCEE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Kost Forer Gabbay &amp; Kasierer, a Member of EY Global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top w:val="single" w:sz="8" w:color="CCEEFF"/>
            </w:tcBorders>
          </w:tcPr>
          <w:p>
            <w:pPr>
              <w:spacing w:after="0"/>
              <w:rPr>
                <w:sz w:val="15"/>
                <w:szCs w:val="15"/>
                <w:color w:val="auto"/>
              </w:rPr>
            </w:pPr>
          </w:p>
        </w:tc>
        <w:tc>
          <w:tcPr>
            <w:tcW w:w="48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Clawback Policy</w:t>
            </w:r>
          </w:p>
        </w:tc>
        <w:tc>
          <w:tcPr>
            <w:tcW w:w="5220" w:type="dxa"/>
            <w:vAlign w:val="bottom"/>
            <w:tcBorders>
              <w:top w:val="single" w:sz="8" w:color="CCEE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iXBRL Taxonomy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000" w:firstLine="8"/>
        <w:spacing w:after="0" w:line="489" w:lineRule="auto"/>
        <w:tabs>
          <w:tab w:leader="none" w:pos="11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iXBRL tags are embedded within the Inline iXBRL document) * Indicates a compensatory plan or arrangement.</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are not intended to provide factual information or other disclosure other than with respect to the terms of the agreements or other documents themselves, and shareholders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eToro Group Ltd.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Johnathan Alexander Assia</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Johnathan Alexander Assia</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139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2886075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eToro Group Ltd.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0" w:type="dxa"/>
            <w:vAlign w:val="bottom"/>
            <w:gridSpan w:val="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000" w:type="dxa"/>
            <w:vAlign w:val="bottom"/>
          </w:tcPr>
          <w:p>
            <w:pPr>
              <w:spacing w:after="0"/>
              <w:rPr>
                <w:sz w:val="20"/>
                <w:szCs w:val="20"/>
                <w:color w:val="auto"/>
              </w:rPr>
            </w:pPr>
          </w:p>
        </w:tc>
      </w:tr>
      <w:tr>
        <w:trPr>
          <w:trHeight w:val="392"/>
        </w:trPr>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6"/>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1000" w:type="dxa"/>
            <w:vAlign w:val="bottom"/>
          </w:tcPr>
          <w:p>
            <w:pPr>
              <w:spacing w:after="0"/>
              <w:rPr>
                <w:sz w:val="24"/>
                <w:szCs w:val="24"/>
                <w:color w:val="auto"/>
              </w:rPr>
            </w:pPr>
          </w:p>
        </w:tc>
      </w:tr>
      <w:tr>
        <w:trPr>
          <w:trHeight w:val="412"/>
        </w:trPr>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4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920" w:type="dxa"/>
            <w:vAlign w:val="bottom"/>
            <w:tcBorders>
              <w:top w:val="single" w:sz="8" w:color="auto"/>
            </w:tcBorders>
            <w:gridSpan w:val="2"/>
          </w:tcPr>
          <w:p>
            <w:pPr>
              <w:spacing w:after="0"/>
              <w:rPr>
                <w:sz w:val="24"/>
                <w:szCs w:val="24"/>
                <w:color w:val="auto"/>
              </w:rPr>
            </w:pPr>
          </w:p>
        </w:tc>
        <w:tc>
          <w:tcPr>
            <w:tcW w:w="366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3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ID No. 1281)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F-3-F-4</w:t>
            </w:r>
          </w:p>
        </w:tc>
      </w:tr>
      <w:tr>
        <w:trPr>
          <w:trHeight w:val="216"/>
        </w:trPr>
        <w:tc>
          <w:tcPr>
            <w:tcW w:w="3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Financial Position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F-5</w:t>
            </w:r>
          </w:p>
        </w:tc>
      </w:tr>
      <w:tr>
        <w:trPr>
          <w:trHeight w:val="216"/>
        </w:trPr>
        <w:tc>
          <w:tcPr>
            <w:tcW w:w="3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Comprehensive Income (Loss)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F-6</w:t>
            </w:r>
          </w:p>
        </w:tc>
      </w:tr>
      <w:tr>
        <w:trPr>
          <w:trHeight w:val="216"/>
        </w:trPr>
        <w:tc>
          <w:tcPr>
            <w:tcW w:w="3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Changes in Equity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F-7</w:t>
            </w:r>
          </w:p>
        </w:tc>
      </w:tr>
      <w:tr>
        <w:trPr>
          <w:trHeight w:val="216"/>
        </w:trPr>
        <w:tc>
          <w:tcPr>
            <w:tcW w:w="3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F-8-F-9</w:t>
            </w:r>
          </w:p>
        </w:tc>
      </w:tr>
      <w:tr>
        <w:trPr>
          <w:trHeight w:val="216"/>
        </w:trPr>
        <w:tc>
          <w:tcPr>
            <w:tcW w:w="30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F-10-F-61</w:t>
            </w:r>
          </w:p>
        </w:tc>
      </w:tr>
      <w:tr>
        <w:trPr>
          <w:trHeight w:val="655"/>
        </w:trPr>
        <w:tc>
          <w:tcPr>
            <w:tcW w:w="30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5"/>
          </w:tcPr>
          <w:p>
            <w:pPr>
              <w:jc w:val="center"/>
              <w:ind w:right="3660"/>
              <w:spacing w:after="0"/>
              <w:rPr>
                <w:sz w:val="20"/>
                <w:szCs w:val="20"/>
                <w:color w:val="auto"/>
              </w:rPr>
            </w:pPr>
            <w:r>
              <w:rPr>
                <w:rFonts w:ascii="Times New Roman" w:cs="Times New Roman" w:eastAsia="Times New Roman" w:hAnsi="Times New Roman"/>
                <w:sz w:val="18"/>
                <w:szCs w:val="18"/>
                <w:color w:val="auto"/>
                <w:w w:val="95"/>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49" w:name="page150"/>
    <w:bookmarkEnd w:id="149"/>
    <w:p>
      <w:pPr>
        <w:ind w:left="2260"/>
        <w:spacing w:after="0"/>
        <w:rPr>
          <w:sz w:val="20"/>
          <w:szCs w:val="20"/>
          <w:color w:val="auto"/>
        </w:rPr>
      </w:pPr>
      <w:r>
        <w:rPr>
          <w:rFonts w:ascii="Times New Roman" w:cs="Times New Roman" w:eastAsia="Times New Roman" w:hAnsi="Times New Roman"/>
          <w:sz w:val="18"/>
          <w:szCs w:val="18"/>
          <w:b w:val="1"/>
          <w:bCs w:val="1"/>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85800" cy="728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85800" cy="728980"/>
                    </a:xfrm>
                    <a:prstGeom prst="rect">
                      <a:avLst/>
                    </a:prstGeom>
                    <a:noFill/>
                  </pic:spPr>
                </pic:pic>
              </a:graphicData>
            </a:graphic>
          </wp:anchor>
        </w:drawing>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144 Menachem Begin Road, Building A,</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Tel: +972-3-6232525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+972-3-5622555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ey.com</w:t>
      </w:r>
    </w:p>
    <w:p>
      <w:pPr>
        <w:spacing w:after="0" w:line="200" w:lineRule="exact"/>
        <w:rPr>
          <w:sz w:val="20"/>
          <w:szCs w:val="20"/>
          <w:color w:val="auto"/>
        </w:rPr>
      </w:pPr>
    </w:p>
    <w:p>
      <w:pPr>
        <w:sectPr>
          <w:pgSz w:w="11900" w:h="16838" w:orient="portrait"/>
          <w:cols w:equalWidth="0" w:num="2">
            <w:col w:w="5220" w:space="400"/>
            <w:col w:w="5620"/>
          </w:cols>
          <w:pgMar w:left="320" w:top="87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eToro Group Ltd.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eToro Group Ltd. (the “Company”) as of December 31, 2025 and 2024, the related consolidated statements of comprehensive income (loss),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International Financial Reporting Standards (“IFRS”) as issued by the International Accounting Standard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Cryptoassets and user’s cryptoassets (“cryptoassets”)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Matter: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more fully described in Note 2 to the consolidated financial statements, as of December 31, 2025, the Company had $62.6 million of cryptoassets presented as current assets, and as described in notes 13 and 18, $4,304 million cryptoassets held on behalf of its users in custody presented off-balance sheet. Cryptoassets are generally accessible only by the possessor of the unique private key relating to the digital wallet in which the cryptoassets are held. Accordingly, private keys must be safeguarded and secured in order to prevent an unauthorized party from accessing them within a digital wallet. The Company holds cryptoassets for its own use, and on behalf of users, in digital wallets and controls the private keys associated with them. The loss, theft, or otherwise compromise of access to the private keys required to access the cryptoassets could adversely affect the Company’s ability to access the cryptoassets within its environment. This could result in loss of cryptoassets.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cryptoassets was complex due to the nature and extent of audit effort required to obtain sufficient appropriate audit evidence to address the risks of material misstatement related to the existence and rights &amp; obligations of cryptoassets. The nature and extent of audit effort required to address the matter includes significant involvement of more experienced engagement team members, information technology professionals with specialized skills, and discussions with subject matter experts related to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Addressed the Matter in Our Audit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225" w:lineRule="exact"/>
        <w:rPr>
          <w:sz w:val="20"/>
          <w:szCs w:val="20"/>
          <w:color w:val="auto"/>
        </w:rPr>
      </w:pPr>
    </w:p>
    <w:p>
      <w:pPr>
        <w:jc w:val="both"/>
        <w:ind w:left="3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Company’s controls related to the ability to access and control the private keys to its digital wallets. We obtained evidence that the Company has control of the private keys required to access cryptoassets by observing the movement of selected cryptoassets from its digital wallets.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proprietary audit tool to independently obtain evidence from public blockchains to test the existence of cryptoasset balances.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Company’s reconciliation of internal books and records to external blockchains.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evidence to evaluate cryptoasset balances for appropriate segregation between the Company’s cryptoassets and users’ cryptoassets.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subject matter experts to assess reliability of evidence obtained from public blockchains.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Member of EY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served as the Company’s auditor since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Tel-Aviv, Israel, March 2,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8"/>
        </w:trPr>
        <w:tc>
          <w:tcPr>
            <w:tcW w:w="7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 and unless otherwise indicated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1,072,641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575,395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329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202,688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249,055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224,867</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113,279</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26,820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50,466</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61,299</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8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1,675,438</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1,075,326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41,873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44,406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7,361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43,211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49"/>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17e</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11,776</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8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115,909</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1,791,347</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1,191,362</w:t>
            </w:r>
          </w:p>
        </w:tc>
        <w:tc>
          <w:tcPr>
            <w:tcW w:w="0" w:type="dxa"/>
            <w:vAlign w:val="bottom"/>
          </w:tcPr>
          <w:p>
            <w:pPr>
              <w:spacing w:after="0"/>
              <w:rPr>
                <w:sz w:val="1"/>
                <w:szCs w:val="1"/>
                <w:color w:val="auto"/>
              </w:rPr>
            </w:pP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lease liabilities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5,978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8,994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107,830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103,493</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215,414</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193,115</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8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342,651</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305,567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962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48,485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 liability</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17e</w:t>
            </w: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4,659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8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54,106</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1,273,894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474,469</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397,019</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(62,085)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9,091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5,441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168,249</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(47,447)</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38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1,394,590</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832,375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1,791,347</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1,191,362</w:t>
            </w:r>
          </w:p>
        </w:tc>
        <w:tc>
          <w:tcPr>
            <w:tcW w:w="0" w:type="dxa"/>
            <w:vAlign w:val="bottom"/>
          </w:tcPr>
          <w:p>
            <w:pPr>
              <w:spacing w:after="0"/>
              <w:rPr>
                <w:sz w:val="1"/>
                <w:szCs w:val="1"/>
                <w:color w:val="auto"/>
              </w:rPr>
            </w:pPr>
          </w:p>
        </w:tc>
      </w:tr>
      <w:tr>
        <w:trPr>
          <w:trHeight w:val="21"/>
        </w:trPr>
        <w:tc>
          <w:tcPr>
            <w:tcW w:w="3720" w:type="dxa"/>
            <w:vAlign w:val="bottom"/>
            <w:tcBorders>
              <w:top w:val="single" w:sz="8" w:color="CCEEFF"/>
              <w:bottom w:val="single" w:sz="8" w:color="CCEEFF"/>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March 2, 2026</w:t>
            </w:r>
          </w:p>
        </w:tc>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720" w:type="dxa"/>
            <w:vAlign w:val="bottom"/>
            <w:gridSpan w:val="2"/>
            <w:vMerge w:val="continue"/>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Date of approval of the consolidated financial</w:t>
            </w:r>
          </w:p>
        </w:tc>
        <w:tc>
          <w:tcPr>
            <w:tcW w:w="220" w:type="dxa"/>
            <w:vAlign w:val="bottom"/>
          </w:tcPr>
          <w:p>
            <w:pPr>
              <w:spacing w:after="0"/>
              <w:rPr>
                <w:sz w:val="17"/>
                <w:szCs w:val="17"/>
                <w:color w:val="auto"/>
              </w:rPr>
            </w:pPr>
          </w:p>
        </w:tc>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Yoni Assia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rPr>
              <w:t>Meron Shani</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statements</w:t>
            </w: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 and unless otherwise indicated</w:t>
      </w:r>
    </w:p>
    <w:p>
      <w:pPr>
        <w:spacing w:after="0" w:line="2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ectPr>
          <w:pgSz w:w="11900" w:h="16838" w:orient="portrait"/>
          <w:cols w:equalWidth="0" w:num="1">
            <w:col w:w="11240"/>
          </w:cols>
          <w:pgMar w:left="320" w:top="873" w:right="33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tc>
        <w:tc>
          <w:tcPr>
            <w:tcW w:w="1020" w:type="dxa"/>
            <w:vAlign w:val="bottom"/>
          </w:tcPr>
          <w:p>
            <w:pPr>
              <w:spacing w:after="0"/>
              <w:rPr>
                <w:sz w:val="24"/>
                <w:szCs w:val="24"/>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0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trading income (loss) from cryptoassets derivatives</w:t>
            </w:r>
          </w:p>
        </w:tc>
        <w:tc>
          <w:tcPr>
            <w:tcW w:w="10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02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020" w:type="dxa"/>
            <w:vAlign w:val="bottom"/>
          </w:tcPr>
          <w:p>
            <w:pPr>
              <w:spacing w:after="0"/>
              <w:rPr>
                <w:sz w:val="20"/>
                <w:szCs w:val="20"/>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1020" w:type="dxa"/>
            <w:vAlign w:val="bottom"/>
          </w:tcPr>
          <w:p>
            <w:pPr>
              <w:spacing w:after="0"/>
              <w:rPr>
                <w:sz w:val="21"/>
                <w:szCs w:val="21"/>
                <w:color w:val="auto"/>
              </w:rPr>
            </w:pPr>
          </w:p>
        </w:tc>
      </w:tr>
      <w:tr>
        <w:trPr>
          <w:trHeight w:val="45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020" w:type="dxa"/>
            <w:vAlign w:val="bottom"/>
          </w:tcPr>
          <w:p>
            <w:pPr>
              <w:spacing w:after="0"/>
              <w:rPr>
                <w:sz w:val="24"/>
                <w:szCs w:val="24"/>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0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20d</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20e</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Finance and other expense, net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20g</w:t>
            </w: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w:t>
            </w:r>
          </w:p>
        </w:tc>
        <w:tc>
          <w:tcPr>
            <w:tcW w:w="1020" w:type="dxa"/>
            <w:vAlign w:val="bottom"/>
          </w:tcPr>
          <w:p>
            <w:pPr>
              <w:spacing w:after="0"/>
              <w:rPr>
                <w:sz w:val="21"/>
                <w:szCs w:val="21"/>
                <w:color w:val="auto"/>
              </w:rPr>
            </w:pPr>
          </w:p>
        </w:tc>
      </w:tr>
      <w:tr>
        <w:trPr>
          <w:trHeight w:val="45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020" w:type="dxa"/>
            <w:vAlign w:val="bottom"/>
          </w:tcPr>
          <w:p>
            <w:pPr>
              <w:spacing w:after="0"/>
              <w:rPr>
                <w:sz w:val="24"/>
                <w:szCs w:val="24"/>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17f</w:t>
            </w: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21"/>
                <w:szCs w:val="21"/>
                <w:color w:val="auto"/>
              </w:rPr>
            </w:pPr>
          </w:p>
        </w:tc>
      </w:tr>
      <w:tr>
        <w:trPr>
          <w:trHeight w:val="30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20" w:type="dxa"/>
            <w:vAlign w:val="bottom"/>
          </w:tcPr>
          <w:p>
            <w:pPr>
              <w:spacing w:after="0"/>
              <w:rPr>
                <w:sz w:val="24"/>
                <w:szCs w:val="24"/>
                <w:color w:val="auto"/>
              </w:rPr>
            </w:pP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1020" w:type="dxa"/>
            <w:vAlign w:val="bottom"/>
          </w:tcPr>
          <w:p>
            <w:pPr>
              <w:spacing w:after="0"/>
              <w:rPr>
                <w:sz w:val="19"/>
                <w:szCs w:val="19"/>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020" w:type="dxa"/>
            <w:vAlign w:val="bottom"/>
          </w:tcPr>
          <w:p>
            <w:pPr>
              <w:spacing w:after="0"/>
              <w:rPr>
                <w:sz w:val="20"/>
                <w:szCs w:val="20"/>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year, net of tax</w:t>
            </w:r>
          </w:p>
        </w:tc>
        <w:tc>
          <w:tcPr>
            <w:tcW w:w="1020" w:type="dxa"/>
            <w:vAlign w:val="bottom"/>
          </w:tcPr>
          <w:p>
            <w:pPr>
              <w:spacing w:after="0"/>
              <w:rPr>
                <w:sz w:val="21"/>
                <w:szCs w:val="21"/>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20" w:type="dxa"/>
            <w:vAlign w:val="bottom"/>
          </w:tcPr>
          <w:p>
            <w:pPr>
              <w:spacing w:after="0"/>
              <w:rPr>
                <w:sz w:val="21"/>
                <w:szCs w:val="21"/>
                <w:color w:val="auto"/>
              </w:rPr>
            </w:pPr>
          </w:p>
        </w:tc>
      </w:tr>
      <w:tr>
        <w:trPr>
          <w:trHeight w:val="54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8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52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shares used to compute net income per share</w:t>
            </w:r>
          </w:p>
        </w:tc>
        <w:tc>
          <w:tcPr>
            <w:tcW w:w="1020" w:type="dxa"/>
            <w:vAlign w:val="bottom"/>
          </w:tcPr>
          <w:p>
            <w:pPr>
              <w:spacing w:after="0"/>
              <w:rPr>
                <w:sz w:val="24"/>
                <w:szCs w:val="24"/>
                <w:color w:val="auto"/>
              </w:rPr>
            </w:pPr>
          </w:p>
        </w:tc>
      </w:tr>
      <w:tr>
        <w:trPr>
          <w:trHeight w:val="232"/>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shareholders: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-4635500</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-4361180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-4086860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-3795395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-3495675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-3221355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-2947035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-2672715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-2364105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-2080895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-1746885</wp:posOffset>
            </wp:positionV>
            <wp:extent cx="713232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-1447165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63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399,362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328,706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12,975,078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12,147,329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3,431,274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124,032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(130,729)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(63,105)</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81,415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44,256</w:t>
            </w:r>
          </w:p>
        </w:tc>
        <w:tc>
          <w:tcPr>
            <w:tcW w:w="40" w:type="dxa"/>
            <w:vAlign w:val="bottom"/>
          </w:tcPr>
          <w:p>
            <w:pPr>
              <w:spacing w:after="0"/>
              <w:rPr>
                <w:sz w:val="19"/>
                <w:szCs w:val="19"/>
                <w:color w:val="auto"/>
              </w:rPr>
            </w:pPr>
          </w:p>
        </w:tc>
      </w:tr>
      <w:tr>
        <w:trPr>
          <w:trHeight w:val="241"/>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10,104</w:t>
            </w:r>
          </w:p>
        </w:tc>
        <w:tc>
          <w:tcPr>
            <w:tcW w:w="4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13,837,932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12,640,553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3,885,618</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63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12,932,009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11,816,192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25,280</w:t>
            </w:r>
          </w:p>
        </w:tc>
        <w:tc>
          <w:tcPr>
            <w:tcW w:w="40" w:type="dxa"/>
            <w:vAlign w:val="bottom"/>
          </w:tcPr>
          <w:p>
            <w:pPr>
              <w:spacing w:after="0"/>
              <w:rPr>
                <w:sz w:val="18"/>
                <w:szCs w:val="18"/>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243,636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13,584,531</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12,394,934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3,857,886</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27"/>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245,619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27,732</w:t>
            </w:r>
          </w:p>
        </w:tc>
        <w:tc>
          <w:tcPr>
            <w:tcW w:w="40" w:type="dxa"/>
            <w:vAlign w:val="bottom"/>
          </w:tcPr>
          <w:p>
            <w:pPr>
              <w:spacing w:after="0"/>
              <w:rPr>
                <w:sz w:val="24"/>
                <w:szCs w:val="24"/>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53,238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12,473</w:t>
            </w:r>
          </w:p>
        </w:tc>
        <w:tc>
          <w:tcPr>
            <w:tcW w:w="40" w:type="dxa"/>
            <w:vAlign w:val="bottom"/>
          </w:tcPr>
          <w:p>
            <w:pPr>
              <w:spacing w:after="0"/>
              <w:rPr>
                <w:sz w:val="20"/>
                <w:szCs w:val="20"/>
                <w:color w:val="auto"/>
              </w:rPr>
            </w:pP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192,381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15,259</w:t>
            </w:r>
          </w:p>
        </w:tc>
        <w:tc>
          <w:tcPr>
            <w:tcW w:w="4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219,269</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194,249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15,259</w:t>
            </w:r>
          </w:p>
        </w:tc>
        <w:tc>
          <w:tcPr>
            <w:tcW w:w="4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65" w:lineRule="exact"/>
        <w:rPr>
          <w:sz w:val="20"/>
          <w:szCs w:val="20"/>
          <w:color w:val="auto"/>
        </w:rPr>
      </w:pPr>
    </w:p>
    <w:p>
      <w:pPr>
        <w:sectPr>
          <w:pgSz w:w="11900" w:h="16838" w:orient="portrait"/>
          <w:cols w:equalWidth="0" w:num="2">
            <w:col w:w="7220" w:space="120"/>
            <w:col w:w="390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83,503,592</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75,595,967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73,727,979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95,129,729</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85,297,910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82,818,507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Numbers of shares have been retroactively adjusted to reflect the Recapitalization, as in Note 16(A)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 and unless otherwise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Advanced</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3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66,570</w:t>
            </w: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Advanced Investment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240,909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(240,909)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in respect of acquisition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derived from share-based payment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7"/>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433,901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(239,828</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597,558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in respect of business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192,381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0" w:type="dxa"/>
            <w:vAlign w:val="bottom"/>
            <w:vMerge w:val="continue"/>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474,469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vMerge w:val="continue"/>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(47,447</w:t>
            </w:r>
          </w:p>
        </w:tc>
        <w:tc>
          <w:tcPr>
            <w:tcW w:w="22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16,081</w:t>
            </w: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 upon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public offering, net of underwriting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 commissions and other issuance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775,344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(397,019)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(62,085)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215,696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3,573</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1,273,894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(62,085</w:t>
            </w:r>
          </w:p>
        </w:tc>
        <w:tc>
          <w:tcPr>
            <w:tcW w:w="220" w:type="dxa"/>
            <w:vAlign w:val="bottom"/>
            <w:vMerge w:val="continue"/>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5,441</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168,249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 and unless otherwise indicated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7320" w:type="dxa"/>
            <w:vAlign w:val="bottom"/>
          </w:tcPr>
          <w:p>
            <w:pPr>
              <w:spacing w:after="0"/>
              <w:rPr>
                <w:sz w:val="24"/>
                <w:szCs w:val="24"/>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215,696</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192,381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12,973</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11,337</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16,145</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27,150</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66,143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of liabilities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3,341</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29,560</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(35,967)</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(37,380)</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(21,022)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25,395</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13,417</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11,432</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4,642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37,705</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53,238</w:t>
            </w:r>
          </w:p>
        </w:tc>
        <w:tc>
          <w:tcPr>
            <w:tcW w:w="2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of counterparties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(52,527)</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(34,492)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cryptoassets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55,692</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8,593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of other receivables and prepaid expenses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(7,097)</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(3,947)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restricted cash</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(857)</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user and omnibus accounts, net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33,728</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30,536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of accounts payable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(2,400)</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2,218</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accrued expenses and other payables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1,937</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39,667</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26,315</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 of employee benefit liabilities, net</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(459)</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paid, net during the year</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(7,096)</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(3,188)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received (paid), net during the year</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(18,430)</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(14,572)</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318,245</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268,579</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111,834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of short-term investments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(427,264)</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(65,000)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short-term investments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289,701</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of investments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(4,841)</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(2,372)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(635)</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Spaceship (see Note b)</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(143,539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(68,527</w:t>
            </w:r>
          </w:p>
        </w:tc>
        <w:tc>
          <w:tcPr>
            <w:tcW w:w="220" w:type="dxa"/>
            <w:vAlign w:val="bottom"/>
            <w:tcBorders>
              <w:top w:val="single" w:sz="8" w:color="CCEEFF"/>
              <w:bottom w:val="single" w:sz="8" w:color="CCEEFF"/>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6,126</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(4,573)</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(4,119)</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 upon initial public offering, net of underwriting discounts,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 and other issuance costs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377,943</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(59,547)</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paid to credit facility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319,949</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(3,190)</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Exchange differences on balances of cash and cash equivalents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(9,801</w:t>
            </w:r>
          </w:p>
        </w:tc>
        <w:tc>
          <w:tcPr>
            <w:tcW w:w="220" w:type="dxa"/>
            <w:vAlign w:val="bottom"/>
            <w:tcBorders>
              <w:top w:val="single" w:sz="8" w:color="CCEEFF"/>
              <w:bottom w:val="single" w:sz="8" w:color="CCEEFF"/>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497,246</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187,061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575,395</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388,334</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1,072,641</w:t>
            </w:r>
          </w:p>
        </w:tc>
        <w:tc>
          <w:tcPr>
            <w:tcW w:w="240" w:type="dxa"/>
            <w:vAlign w:val="bottom"/>
          </w:tcPr>
          <w:p>
            <w:pPr>
              <w:spacing w:after="0"/>
              <w:rPr>
                <w:sz w:val="20"/>
                <w:szCs w:val="20"/>
                <w:color w:val="auto"/>
              </w:rPr>
            </w:pP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575,395</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8"/>
        </w:trPr>
        <w:tc>
          <w:tcPr>
            <w:tcW w:w="7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eToro Group Ltd.</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gridSpan w:val="5"/>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 and unless otherwise indicated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 Non-cash transactions: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gridSpan w:val="8"/>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right-of-use assets against lease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4,183</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16,930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Taxes derived from share-based payments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1,874</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hedging instruments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3,573</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Conversion of Advanced Investment Agreement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in respect of acquisition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Share-based payment in respect of asset acquisition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 Net cash and cash equivalents used for the acquisition of Spaceship:</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Trademark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50"/>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18,491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Non-cash consideration: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Contingent consideration and holdback shares liability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Cash paid in the acquisition of Spaceship,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eToro Group Ltd. (hereinafter - the “Company”) and its subsidiaries (hereinafter - the “Group”) is a multi - asset platform supporting trading and investing in equities, cryptoassets, commodities, currencies and options traded either as an asset or as a derivative related to different underlying asset types. The Group is engaged in one operating segment of trading activity. The Company is the ultimate parent of the Group.</w:t>
      </w:r>
    </w:p>
    <w:p>
      <w:pPr>
        <w:spacing w:after="0" w:line="17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Group’s operation is subject to certain restrictions in certain jurisdictions due to local regulations and applicable laws, some or all the products described above are offered under applicable local laws and regulations.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incorporated under the laws of the British Virgin Islands on December 14, 2006.</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were approved by the Company’s Board of Directors on March 2, 2026.</w:t>
      </w:r>
    </w:p>
    <w:p>
      <w:pPr>
        <w:spacing w:after="0" w:line="22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these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Company</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eToro Group Ltd.</w:t>
            </w:r>
          </w:p>
        </w:tc>
      </w:tr>
      <w:tr>
        <w:trPr>
          <w:trHeight w:val="432"/>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Group</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 and its subsidiaries.</w:t>
            </w:r>
          </w:p>
        </w:tc>
      </w:tr>
      <w:tr>
        <w:trPr>
          <w:trHeight w:val="414"/>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Subsidiaries</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Companies that are controlled by the Company (as defined in IFRS 10) and whose accounts are</w:t>
            </w:r>
          </w:p>
        </w:tc>
      </w:tr>
      <w:tr>
        <w:trPr>
          <w:trHeight w:val="234"/>
        </w:trPr>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consolidated with those of the Company.</w:t>
            </w:r>
          </w:p>
        </w:tc>
      </w:tr>
      <w:tr>
        <w:trPr>
          <w:trHeight w:val="432"/>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Related parties</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defined in IAS 24.</w:t>
            </w:r>
          </w:p>
        </w:tc>
      </w:tr>
      <w:tr>
        <w:trPr>
          <w:trHeight w:val="432"/>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Dollar</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Dollar or USD</w:t>
            </w:r>
          </w:p>
        </w:tc>
      </w:tr>
      <w:tr>
        <w:trPr>
          <w:trHeight w:val="414"/>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Cryptoasset</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digital medium of exchange built using blockchain technology. Its creation and transfer are based on an</w:t>
            </w:r>
          </w:p>
        </w:tc>
      </w:tr>
      <w:tr>
        <w:trPr>
          <w:trHeight w:val="234"/>
        </w:trPr>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 source cryptographic protocol and is not backed by any central bank or government.</w:t>
            </w:r>
          </w:p>
        </w:tc>
      </w:tr>
      <w:tr>
        <w:trPr>
          <w:trHeight w:val="414"/>
        </w:trPr>
        <w:tc>
          <w:tcPr>
            <w:tcW w:w="2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NFT</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Non-fungible token, a Cryptoasset that has unique attribute- as opposed to “fungible” assets like Bitcoin</w:t>
            </w:r>
          </w:p>
        </w:tc>
      </w:tr>
      <w:tr>
        <w:trPr>
          <w:trHeight w:val="234"/>
        </w:trPr>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dollar bills.</w:t>
            </w:r>
          </w:p>
        </w:tc>
      </w:tr>
      <w:tr>
        <w:trPr>
          <w:trHeight w:val="655"/>
        </w:trPr>
        <w:tc>
          <w:tcPr>
            <w:tcW w:w="2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240"/>
          </w:cols>
          <w:pgMar w:left="320" w:top="87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following accounting policies have been applied consistently in the financial statements for all periods presented, unless otherwise stated.</w:t>
      </w:r>
    </w:p>
    <w:p>
      <w:pPr>
        <w:spacing w:after="0" w:line="158"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OF THE FINANCIAL STATEMENTS: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of the Group have been prepared in accordance with International Financial Reporting Standards (“IFRS”) as issued by the International Accounting Standards Board (“IASB”).</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financial statements have been prepared on a historical cost basis, except for the following:</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at fair value through profit or loss;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benefit liabilities, net;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share options;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Counterparties;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Receivable from omnibus accounts;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Payable to users;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Cryptoassets;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short-term liabilities;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long-term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elected to present the statement of profit or loss using the function of expense method.</w:t>
      </w:r>
    </w:p>
    <w:p>
      <w:pPr>
        <w:spacing w:after="0" w:line="221"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GOODWILL:</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combinations are accounted for by applying the acquisition method. The cost of the acquisition is measured at the fair value of the consideration transferred on the acquisition date with the addition of non-controlling interests in the acquiree. In each business combination, the Company chooses whether to measure the non-controlling interests in the acquiree based on their fair value on the acquisition date or at their proportionate share in the fair value of the acquiree’s net identifiable assets.</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allocates the fair value of the purchase price to the tangible assets acquired, liabilities assumed and intangible assets acquired based on their estimated fair value. The excess of the fair value of the purchase price over the fair values of these identifiable assets and liabilities is recorded as goodwill (see below). Such valuations require management to make significant estimates and assumptions, especially with respect to intangible assets. Significant estimates in valuing certain intangible assets include, but are not limited to, future expected cash flows from acquired technology and discount rates.</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Management’s estimates of fair value are based upon assumptions believed to be reasonable, but which are inherently uncertain and unpredictable and, as a result, actual results may differ from estimates. During the measurement period, which does not exceed one year from the acquisition date, the Company may record adjustments to the assets acquired and liabilities assumed, with the corresponding offset to goodwill. Upon the finalization of the measurement period, any subsequent adjustments are recorded to earnings.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GOODWILL: (Cont.)</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 acquisition costs are carried to the statement of profit or loss as incurred.</w:t>
      </w:r>
    </w:p>
    <w:p>
      <w:pPr>
        <w:spacing w:after="0" w:line="22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is initially measured at cost which represents the excess of the acquisition consideration and the amount of non-controlling interests over the net identifiable assets acquired and liabilities assumed</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After initial recognition, goodwill is measured at cost less any accumulated impairment losses. The Company reviews goodwill for impairment once a year, as of December 31, or more frequently if events or changes in circumstances indicate that there is an impairment.</w:t>
      </w:r>
    </w:p>
    <w:p>
      <w:pPr>
        <w:spacing w:after="0" w:line="13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is tested for impairment by assessing the recoverable amount of the cash-generating unit (or group of cash-generating units) to which the goodwill has been allocated. An impairment loss is recognized if the recoverable amount of the cash-generating unit (or group of cash-generating units) to which goodwill has been allocated is less than the carrying amount of the cash-generating unit (or group of cash-generating units). Any impairment loss is allocated first to goodwill. Impairment losses recognized for goodwill cannot be reversed in subsequent periods. The Company did not recognise any impairment loss for the years ended December 31, 2025, 2024 and 2023.</w:t>
      </w:r>
    </w:p>
    <w:p>
      <w:pPr>
        <w:spacing w:after="0" w:line="17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 PRESENTATION CURRENCY AND FOREIGN CURRENCY:</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 and presentation currencies: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presented in USD, which is the Company’s functional currency since its revenues and a major part of its expenses are denominated in USD. For each subsidiary, the Group determines the functional currency and items included in the financial statements of each subsidiary are measured using that functional currency. The functional currency of all the Group’s subsidiaries is the USD.</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assets and liabilities in foreign currency:</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denominated in foreign currency are recorded upon initial recognition at the exchange rate at the date of the transaction. After initial recognition, monetary assets and liabilities denominated in foreign currency are translated at the end of each reporting date into the functional currency at the exchange rate at that date. Exchange rates, other than those capitalized to qualifying assets, are recognized in profit or loss. Non-monetary assets and liabilities measured at cost in a foreign currency are translated at the exchange rate at the date of the transaction. Non-monetary assets and liabilities denominated in foreign currency and measured at fair value are translated into the functional currency using the exchange rate prevailing at the date when the fair value was determined.</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 and are held for the purpose of meeting short-term cash commitments. The balance of cash and cash equivalents also includes cash held in accounts managed by online payment platforms.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are bank deposits with an original maturity of more than three months but less than one year from the date of investment.</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SEGREGATED USER FUNDS: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equities and cryptoassets are held by the Group on behalf of the users: the Group commonly acts in a variety of arrangements as custodian, trustee or other fiduciary capacities that result in the holding of assets on behalf of users. Such assets are maintained in segregated accounts or segregated cryptoasset wallets in accordance with the relevant regulatory framework and/or legal framework and are held for the benefit of the user who remains the legal and/or beneficial owner of these assets.</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arrangements are subject to regulation (when applicable), as well as industry custom and practice. These assets (excluding certain cash balances that the Company has title and legal right, (hence, control) in the Seychelles and ME entities, which are classified under ‘Payable to users’) are not included in the Group’s statement of financial position as the ability to control the assets is restricted and since the contractual terms and economic substance of the arrangements do not meet IFRS requirements for the recognition of an asset.</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of control as noted above is also based on several indicators that mainly examine who is entitled to the economic benefits derived from the cash flows arising from these assets, and which party has a secured claim in case of the insolvency of each party to the arrangement including the institution where the funds are held. This determination is re-examined when there is a change in circumstances, laws, regulations and contracts with the client.</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above, the Company applies the de-recognition provisions of IFRS 9, Financial Instruments (“IFRS 9”) to determine whether cash and equities should be reflected on the statements of financial position. IFRS 9’s de-recognition provisions are assessed on user funds in cash and equities. See Note 2v for details regarding de-recognition of financial assets.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IFRS 15, Revenues from Contracts with Customers (“IFRS 15”), in cryptoasset transactions where it acts as principal, to determine when control of the cryptoassets has been transferred to users and when they should be de-recognized from the Company’s statements of financial position.</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 FROM OMNIBUS ACCOUNTS AND PAYABLE TO USERS:</w:t>
      </w:r>
    </w:p>
    <w:p>
      <w:pPr>
        <w:spacing w:after="0" w:line="229" w:lineRule="exact"/>
        <w:rPr>
          <w:rFonts w:ascii="Times New Roman" w:cs="Times New Roman" w:eastAsia="Times New Roman" w:hAnsi="Times New Roman"/>
          <w:sz w:val="18"/>
          <w:szCs w:val="18"/>
          <w:b w:val="1"/>
          <w:bCs w:val="1"/>
          <w:color w:val="auto"/>
        </w:rPr>
      </w:pPr>
    </w:p>
    <w:p>
      <w:pPr>
        <w:ind w:left="1300" w:right="28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its business, the Group receives from its users’ deposits to secure their trading positions. Assets or liabilities resulting from profit or loss on open positions are carried at fair value.</w:t>
      </w:r>
    </w:p>
    <w:p>
      <w:pPr>
        <w:spacing w:after="0" w:line="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Receivable from omnibus accounts and payable to users represent users’ equity that is not held in segregated accounts and cryptoasset wallets, where the combination of users’ deposits and the valuation of financial derivative open positions results in an amount payable by or receivable to the Group, and are classified as current assets or liabilities.</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Note 13 for balances held in segregated user 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measured at cost, including directly attributable costs, less accumulated depreciation, accumulated impairment losses and excluding day-to-day servicing expenses, if any.</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calculated on a straight-line basis over the useful life of the assets at annual rates as follows:</w:t>
      </w:r>
    </w:p>
    <w:p>
      <w:pPr>
        <w:spacing w:after="0" w:line="221" w:lineRule="exact"/>
        <w:rPr>
          <w:rFonts w:ascii="Times New Roman" w:cs="Times New Roman" w:eastAsia="Times New Roman" w:hAnsi="Times New Roman"/>
          <w:sz w:val="18"/>
          <w:szCs w:val="18"/>
          <w:b w:val="1"/>
          <w:bCs w:val="1"/>
          <w:color w:val="auto"/>
        </w:rPr>
      </w:pPr>
    </w:p>
    <w:p>
      <w:pPr>
        <w:ind w:left="10220" w:right="40" w:hanging="342"/>
        <w:spacing w:after="0" w:line="275" w:lineRule="auto"/>
        <w:tabs>
          <w:tab w:leader="none" w:pos="10101"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Depreciation Per Year</w:t>
      </w:r>
    </w:p>
    <w:tbl>
      <w:tblPr>
        <w:tblLayout w:type="fixed"/>
        <w:tblInd w:w="0" w:type="dxa"/>
        <w:tblCellMar>
          <w:top w:w="0" w:type="dxa"/>
          <w:left w:w="0" w:type="dxa"/>
          <w:bottom w:w="0" w:type="dxa"/>
          <w:right w:w="0" w:type="dxa"/>
        </w:tblCellMar>
      </w:tblPr>
      <w:tr>
        <w:trPr>
          <w:trHeight w:val="203"/>
        </w:trPr>
        <w:tc>
          <w:tcPr>
            <w:tcW w:w="98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Computers and peripheral equipment</w:t>
            </w: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20 - 33</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7 - 15</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bl>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Leasehold improvements are depreciated by the straight-line method over the term of the lease (including reasonably certain options periods) or the estimated useful life of the improvements, whichever is shorter.</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72"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acquired separately are measured on initial recognition at cost. Intangible assets acquired in a business combination are measured at fair value at the acquisition date. Following initial recognition, intangible assets are carried at cost less any accumulated amortization and accumulated impairment losses.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with finite lives are amortized on a straight-line basis over the useful economic life and assessed for impairment whenever there is an indication that the intangible asset may be impaired. The amortization period and the amortization method for an intangible asset with a finite useful life are reviewed at least once a fiscal year.</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is calculated on a straight-line basis over the useful life of the assets at annual rates as follows:</w:t>
      </w:r>
    </w:p>
    <w:p>
      <w:pPr>
        <w:spacing w:after="0" w:line="221" w:lineRule="exact"/>
        <w:rPr>
          <w:rFonts w:ascii="Times New Roman" w:cs="Times New Roman" w:eastAsia="Times New Roman" w:hAnsi="Times New Roman"/>
          <w:sz w:val="18"/>
          <w:szCs w:val="18"/>
          <w:b w:val="1"/>
          <w:bCs w:val="1"/>
          <w:color w:val="auto"/>
        </w:rPr>
      </w:pPr>
    </w:p>
    <w:p>
      <w:pPr>
        <w:ind w:left="10200" w:right="60" w:hanging="371"/>
        <w:spacing w:after="0" w:line="291" w:lineRule="auto"/>
        <w:tabs>
          <w:tab w:leader="none" w:pos="10060" w:val="left"/>
        </w:tabs>
        <w:numPr>
          <w:ilvl w:val="1"/>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Amortization Per Year</w:t>
      </w:r>
    </w:p>
    <w:tbl>
      <w:tblPr>
        <w:tblLayout w:type="fixed"/>
        <w:tblInd w:w="0" w:type="dxa"/>
        <w:tblCellMar>
          <w:top w:w="0" w:type="dxa"/>
          <w:left w:w="0" w:type="dxa"/>
          <w:bottom w:w="0" w:type="dxa"/>
          <w:right w:w="0" w:type="dxa"/>
        </w:tblCellMar>
      </w:tblPr>
      <w:tr>
        <w:trPr>
          <w:trHeight w:val="203"/>
        </w:trPr>
        <w:tc>
          <w:tcPr>
            <w:tcW w:w="98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IP and technology</w:t>
            </w: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10 - 20</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12.5 - 20</w:t>
            </w:r>
          </w:p>
        </w:tc>
      </w:tr>
      <w:tr>
        <w:trPr>
          <w:trHeight w:val="21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5 - 20</w:t>
            </w:r>
          </w:p>
        </w:tc>
      </w:tr>
      <w:tr>
        <w:trPr>
          <w:trHeight w:val="234"/>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17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Group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cash-generating unit to which the asset belongs. Impairment losses are recognized in profit or loss.</w:t>
      </w:r>
    </w:p>
    <w:p>
      <w:pPr>
        <w:spacing w:after="0" w:line="187"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An impairment loss of an asset, other than goodwill,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 For the year ended December 31, 2025, the Group recorded an impairment of $0.2 million. For the year ended December 31, 2024, the Group did not recognize an impairment, whereas for the year ended December 31, 2023, the Group recorded an impairment of $1.1 million (see Note 11).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right="6480" w:hanging="644"/>
        <w:spacing w:after="0" w:line="500" w:lineRule="auto"/>
        <w:tabs>
          <w:tab w:leader="none" w:pos="1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BENEFITS LIABILITIES: </w:t>
      </w:r>
      <w:r>
        <w:rPr>
          <w:rFonts w:ascii="Times New Roman" w:cs="Times New Roman" w:eastAsia="Times New Roman" w:hAnsi="Times New Roman"/>
          <w:sz w:val="18"/>
          <w:szCs w:val="18"/>
          <w:color w:val="auto"/>
        </w:rPr>
        <w:t>The Group has several employee benefits plans:</w:t>
      </w:r>
    </w:p>
    <w:p>
      <w:pPr>
        <w:spacing w:after="0" w:line="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employees of the Israeli subsidiary (eToro Ltd.) elected to be included under Section 14 of the Severance Compensation Act, 1963 (“Section 14”). According to Section 14, these employees are entitled only to monthly deposits, at a rate of 8.33% of their monthly salary, made in their name with insurance companies.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in accordance with Section 14 release eToro Ltd. from any future severance obligation (under the abovementioned Israeli Severance Pay Law) with respect to those employees. The aforementioned deposits are not recorded as an asset in the Company’s statement of financial position. The liability recognized in respect of the defined contribution plan amounted to $550, $925 and $909 as of December 31, 2025, 2024 and 2023, respectively.</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employee benefits: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employee benefits are benefits that are expected to be settled before twelve months after the end of the annual reporting period in which the employees render the related services. These benefits include salaries, paid annual leave, paid sick leave, recreation and social security contributions and are recognized as expenses as the services are rendered. A liability in respect of a cash bonus or a profit-sharing plan is recognized when the Group has a legal or constructive obligation to make such payment as a result of past service rendered by an employee and a reliable estimate of the amount can be made.</w:t>
      </w:r>
    </w:p>
    <w:p>
      <w:pPr>
        <w:spacing w:after="0" w:line="17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INVESTMENT PLAN: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employees are entitled to an employee investment account on the Company’s trading platform through participation in the Company’s employee investment plan. The Company provides its employees a non-withdrawable amount (“NWA”) which can only be used for trading on the Company’s platform. The NWA is provided to employees upon commencement of employment, annually and on an ad hoc basis upon management’s discretion. The profits earned by the employee on the trading platform, if any, can be withdrawn on a monthly basis. On an annual basis, 10% of the outstanding NWA balance is vested and, subject to terms and conditions of the plan, is recognized as earnings for employees who have completed more than three months of employment at such time. Employees cannot deposit funds into their account at any time.</w:t>
      </w:r>
    </w:p>
    <w:p>
      <w:pPr>
        <w:spacing w:after="0" w:line="188"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employees complete five years of employment, they will be able to use 100% of their NWA and profits net of the applicable taxes solely for the purpose of exercising their vested Company stock options, subject to the terms and conditions of the plan.</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records payroll expense in respect of the NWA over the employee’s vesting period and as the profits are earned by the employee. Payroll expense recorded in respect of the employee investment plan is $10,693, $8,045 and $5,705 for the years ended December 31, 2025 , 2024 and 2023, respectively. As of December 31, 2025 and 2024, the liability to employees in respect of the investment plan is $50,742, $43,399, respectively, included in accrued expenses and other payables.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TRANSACTIONS: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Group and the Company’s board of directors receive remuneration in the form of share-based payments, whereby employees render services as consideration for equity instruments (“equity-settled transactions”).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with employees, including Employee Share Purchase Plan (ESPP), is measured by reference at the fair value of the equity instruments granted on grant date. Service and non-market performance conditions are not taken into account when determining the grant date fair value of awards. The fair value is determined by using the Black-Scholes option-pricing model taking into account the terms and conditions upon which the instruments were granted. The fair value for ESPP is determined based on Monte Carlo simulation, taking into account the terms and conditions of the plan.</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equity-settled transactions is recognized as expense, together with a corresponding increase in equity, over the period during which the relevant employees become entitled to the award, and where applicable, the performance conditions are fulfilled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expense is recognized for awards that do not ultimately vest because non-market performance and/or service conditions have not been met, except for awards where vesting is conditional upon a market condition, which are treated as vesting irrespective of whether the market condition is satisfied, provided that all other vesting conditions (service and/or performance) are satisfied.</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modifies the conditions on which equity-instruments were granted, an additional expense is recognized for any modification that increases the total fair value of the share-based payment arrangement or is otherwise beneficial to the employee/other service provider at the modification date.</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grant of an equity instrument is cancelled, it is accounted for as if it had vested on the cancelation date and any expense not yet recognized for the grant is recognized immediately. However, if a new grant replaces the cancelled grant and is identified as a replacement grant on the grant date, the cancelled and new grants are accounted for as a modification of the original grant, as described above.</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INCOME:</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revenue and income includes: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generated from sale of cryptoassets, staking and blockchain rewards detailed in Note N.(1) below.</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 income from bid and ask spreads, net of trading costs presented as: a) net trading income (loss) from cryptoasset derivatives and b) net trading income from equities, commodities and currencies (“net trading income”) detailed below.</w:t>
      </w:r>
    </w:p>
    <w:p>
      <w:pPr>
        <w:spacing w:after="0" w:line="161" w:lineRule="exact"/>
        <w:rPr>
          <w:rFonts w:ascii="Times New Roman" w:cs="Times New Roman" w:eastAsia="Times New Roman" w:hAnsi="Times New Roman"/>
          <w:sz w:val="18"/>
          <w:szCs w:val="18"/>
          <w:b w:val="1"/>
          <w:bCs w:val="1"/>
          <w:color w:val="auto"/>
        </w:rPr>
      </w:pPr>
    </w:p>
    <w:p>
      <w:pPr>
        <w:ind w:left="1960" w:right="20" w:hanging="656"/>
        <w:spacing w:after="0" w:line="282"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interest income from users, which include net interest income from users’ leveraged positions that stay open overnight and net interest income on users’ funds, detailed in N.(2) below.</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conversion and other income, detailed in Note N.(3) below; and</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interest income includes income earned on the Company’s corporate cash and cash equivalents, which is calculated using the effective interest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INCOME: (Cont.)</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trading income is derived from bid and ask spreads of buying and selling financial instruments or derivatives in cryptoassets, equities, commodities, and currencies, which may be fixed or variable depending on the underlying asset traded.</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 costs include execution, clearing and custody costs, trading gains and losses from the Company’s principal activities and compensation costs.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trading income is accounted for under the provisions of IFRS 9, at fair value in accordance with IFRS 13, Fair Value Measurement, as the Company is a broker-trader, and its operations are based on generating a profit from variation in price of broker-traders’ margin and fair value adjustments of trading cryptoassets, commodities, currencies, and equities.</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when control of the promised goods or services is transferred to the users, in an amount that reflects the consideration the Company expects to be entitled to in exchange for those goods or services.</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cryptoassets:</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sells cryptoassets to users and liquidity providers (LP’s), who meet the definition of customers under IFRS 15 for the said transactions and accordingly are recorded as revenue from cryptoassets.</w:t>
      </w:r>
    </w:p>
    <w:p>
      <w:pPr>
        <w:spacing w:after="0" w:line="161"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contract with its users upon the users’ placing a purchase order in the platform which is accepted by the Company. The Company may fulfil the purchase order by either purchasing cryptoassets from LP’s or from existing users that placed a sale order in the platform.</w:t>
      </w:r>
    </w:p>
    <w:p>
      <w:pPr>
        <w:spacing w:after="0" w:line="175"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at the point in time in which control over the cryptoasset transfers to the user, which is typically when the cryptoasset is transferred to the omnibus account. The transaction price is collected from the user at the time the transaction is executed. Once the cryptoasset is transferred to the omnibus account, it is held in custody by the Company on behalf of the users.</w:t>
      </w:r>
    </w:p>
    <w:p>
      <w:pPr>
        <w:spacing w:after="0" w:line="17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user can terminate the custody services at any time (i.e., when the position is closed), the term of these services is based on daily renewal options which are not considered material rights, since no fee is charged for these services. As such, effectively only one performance obligation exists in the Company’s contracts with its users for the purchase of cryptoassets by the users, which is the promise to execute a purchase order on behalf of its users.</w:t>
      </w:r>
    </w:p>
    <w:p>
      <w:pPr>
        <w:spacing w:after="0" w:line="179" w:lineRule="exact"/>
        <w:rPr>
          <w:rFonts w:ascii="Times New Roman" w:cs="Times New Roman" w:eastAsia="Times New Roman" w:hAnsi="Times New Roman"/>
          <w:sz w:val="18"/>
          <w:szCs w:val="18"/>
          <w:b w:val="1"/>
          <w:bCs w:val="1"/>
          <w:color w:val="auto"/>
        </w:rPr>
      </w:pPr>
    </w:p>
    <w:p>
      <w:pPr>
        <w:jc w:val="both"/>
        <w:ind w:left="19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Judgment is required in determining whether the Company is the principal or the agent in transactions with users. The Company evaluates the presentation of revenue on a gross or net basis based on whether it controls the cryptoasset provided before it is transferred to the user (gross) or whether it acts as an agent by arranging for other users on the platform to provide the cryptoasset to the user (net). The Company controls the cryptoasset as it has the ability to direct the use of and obtain substantially all the benefits from the assets. When the Company acquires cryptoassets either from a LP or an existing user that placed a sale order, the Company has the ability to redirect that asset to provide it to another user other than the party originally intended, elect to hold that asset itself as an investment or sell that asset to a different LP for consideration. The Company has inventory risk from the time the user has placed an order in the platform until the cryptoasset is transferred to the omnibus account on behalf of the user. The Company has discretion in establishing the price and the pricing method in its contracts with customers. Therefore, the Company has determined to be the principal in these transactions and recognizes revenue on a gross basis.</w:t>
      </w:r>
    </w:p>
    <w:p>
      <w:pPr>
        <w:spacing w:after="0" w:line="191" w:lineRule="exact"/>
        <w:rPr>
          <w:rFonts w:ascii="Times New Roman" w:cs="Times New Roman" w:eastAsia="Times New Roman" w:hAnsi="Times New Roman"/>
          <w:sz w:val="18"/>
          <w:szCs w:val="18"/>
          <w:b w:val="1"/>
          <w:bCs w:val="1"/>
          <w:color w:val="auto"/>
        </w:rPr>
      </w:pPr>
    </w:p>
    <w:p>
      <w:pPr>
        <w:jc w:val="both"/>
        <w:ind w:left="19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above, LP’s are also considered customers when the Company contracts a sale of cryptoassets to such LP’s. The Company considers such sales contracts as containing only one performance obligation which is satisfied at the point in time that the control over the cryptoassets is transferred to the LP’s. The Company is considered as the principal in these transactions with the LPs for the same reasons as described above. Therefore, the Company recognizes revenue on a gross basis on these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 (Cont.)</w:t>
      </w:r>
    </w:p>
    <w:p>
      <w:pPr>
        <w:spacing w:after="0" w:line="225" w:lineRule="exact"/>
        <w:rPr>
          <w:rFonts w:ascii="Times New Roman" w:cs="Times New Roman" w:eastAsia="Times New Roman" w:hAnsi="Times New Roman"/>
          <w:sz w:val="18"/>
          <w:szCs w:val="18"/>
          <w:b w:val="1"/>
          <w:bCs w:val="1"/>
          <w:color w:val="auto"/>
        </w:rPr>
      </w:pPr>
    </w:p>
    <w:p>
      <w:pPr>
        <w:ind w:left="1960" w:right="6620" w:hanging="656"/>
        <w:spacing w:after="0" w:line="503" w:lineRule="auto"/>
        <w:tabs>
          <w:tab w:leader="none" w:pos="19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cryptoassets: (cont.) Staking rewards:</w:t>
      </w:r>
    </w:p>
    <w:p>
      <w:pPr>
        <w:jc w:val="both"/>
        <w:ind w:left="19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generates revenue from staking rewards in which the Company participates in networks with proof-of-stake consensus algorithms through creating or validating blocks on the network using the staking validators that it controls. In exchange for participating in the consensus mechanism of these networks, the Company earns rewards in the form of the native token of the network. Once staking rewards are received, the Company retains a certain portion of the rewards and transfers the remaining amount to the relevant users. Each block creation or validation is a performance obligation. Revenue is recognized at the point in time when the block creation or validation is completed, and the rewards are transferred into a digital wallet that the Company controls. Revenue is measured based on the number of cryptoassets received and the fair value of the cryptoassets at contract inception.</w:t>
      </w:r>
    </w:p>
    <w:p>
      <w:pPr>
        <w:spacing w:after="0" w:line="191" w:lineRule="exact"/>
        <w:rPr>
          <w:rFonts w:ascii="Times New Roman" w:cs="Times New Roman" w:eastAsia="Times New Roman" w:hAnsi="Times New Roman"/>
          <w:sz w:val="18"/>
          <w:szCs w:val="18"/>
          <w:b w:val="1"/>
          <w:bCs w:val="1"/>
          <w:color w:val="auto"/>
        </w:rPr>
      </w:pPr>
    </w:p>
    <w:p>
      <w:pPr>
        <w:jc w:val="both"/>
        <w:ind w:left="19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itself the principal in transactions with the blockchain networks since the Company can choose the resources it uses for the purpose of providing the validation services to the blockchain protocols. In addition, the Company has discretion regarding the operation of, and methodology associated with, staking for each type of staked cryptoasset. The Company has the right to terminate the staking services at any time and in its sole discretion. The Company also has discretion as to the amount distributed to users (if at all). Therefore, the Company presents such blockchain rewards recognized from staking on a gross basis.</w:t>
      </w:r>
    </w:p>
    <w:p>
      <w:pPr>
        <w:spacing w:after="0" w:line="183"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Blockchain rewards: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generates revenue from airdrops (“blockchain rewards”) which are distributed to the Company as part of promotional activities or participation in specific blockchain network initiatives. An airdrop typically involves the free distribution of cryptoassets to holders of particular cryptoassets. Upon receiving the airdropped cryptoassets in respect of users’ cryptoassets, the Company retains the cryptoassets for its own use and may transfer a portion of the cryptoassets received to the respective users. The cryptoassets are recognized at their fair value at the time they are received. The Company has discretion as to the amount distributed to users (if at all). Therefore, the Company determined it is the principal in the transaction and recognizes revenue from blockchain rewards of cryptoassets on a gross basis.</w:t>
      </w:r>
    </w:p>
    <w:p>
      <w:pPr>
        <w:spacing w:after="0" w:line="18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interest income from users: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generates interest income from users’ leveraged positions which is derived from a fee charged on margin positions which remain open overnight when a user executes a margin transaction. The interest income is charged and recognized based on the notional value of the margin position and its duration.</w:t>
      </w:r>
    </w:p>
    <w:p>
      <w:pPr>
        <w:spacing w:after="0" w:line="175"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generates income from interest on users’ funds held in segregated accounts (which are not recognized on the balance sheet as discussed in note 2(f)), net of interest paid to users. The Company holds such funds primarily in bank deposits and in Qualified Money Market Funds (QMMFs).</w:t>
      </w:r>
    </w:p>
    <w:p>
      <w:pPr>
        <w:spacing w:after="0" w:line="17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conversion and other income</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Conversion fees are generated through the eToro platform when users’ deposits and withdrawals are executed in non-U.S. dollars, a conversion fee is charged and recognized as income upon conversion. Other fees are principally generated from withdrawals of user funds.</w:t>
      </w:r>
    </w:p>
    <w:p>
      <w:pPr>
        <w:spacing w:after="0" w:line="17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to obtain a contract</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elected to apply the practical expedient to recognize the incremental costs of obtaining a contract as an expense when incurred if the amortization period of the asset that would otherwise have been recognized is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 FROM CRYPTOASSETS: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 from cryptoassets typically include: 1) the cost of cryptoassets purchased from LPs and existing users that placed a sale order in the platform, 2) and the portion of the staking rewards and blockchain rewards distributed to users and 3) change in fair value of cryptoassets held, net.</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MARGIN INTEREST EXPENSE:</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Margin interest expense represents fees incurred by the Company on margin positions which remain open overnight when the Company executes margin transactions with counterparties.</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costs are expensed as incurred. Development expenditures are capitalized only if development costs can be measured reliably, the product or process is technically and commercially feasible, future economic benefits are probable, and the Group intends to and has sufficient resources to complete development to use or sell the asset. Other development expenditures that do not meet the above criteria are recognized in the consolidated statements of loss as incurred. For all periods presented, the Group did not capitalize any development costs as the technical feasibility criteria for capitalization was not met.</w:t>
      </w:r>
    </w:p>
    <w:p>
      <w:pPr>
        <w:spacing w:after="0" w:line="17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COUNTERPARTIES: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counterparties to hedge exposures arising from user transactions. Counterparties’ balances include cash held on account and financial derivative open positions and are classified as current assets and measured as financial assets at fair value through profit or loss. Any excess cash over the collateral requirements for derivative open positions, or available cash at cash accounts is classified as cash and cash equivalents.</w:t>
      </w:r>
    </w:p>
    <w:p>
      <w:pPr>
        <w:spacing w:after="0" w:line="17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counterparties balance also includes USDT, USDC and BUSD Stable Coins which is accounted for as a financial instrument (“USD stable coins”); one unit of USDT, USDC and BUSD can be redeemed for one U.S. dollar on demand from the issuer.</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CRYPTOASSETS: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cryptoassets are primarily traded in active trading platforms and are purchased with the intent to resell in the near future, generating a profit from the fluctuations in prices or margins. As a result, the Group has determined that its holding of cryptoassets should be accounted for under IAS 2, Inventories, as it meets the definition of a broker-trader. These inventories are principally acquired for the purpose of generating a profit from fluctuations in price or broker-traders’ margin and to economically hedge the Company’s exposure to cryptoassets derivatives. Under IAS 2, cryptoassets are measured at fair value less cost to sell, with changes in fair value recognized in “Cost of revenue from Cryptoassets”.</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major third-party exchanges with high volume and liquidity to measure the fair value of its cryptoassets. The exchange selected by the Company for each cryptoasset offers the highest volume and liquidity of trades (i.e., principal market). If a principal market does not exist (e.g., when the volume and liquidity of trades are similar between two or more different markets), the Company uses the most advantageous market. The most advantageous market offers high volume, liquidity of trades and the most favourable spread, maximizing the amount that would be received from selling the asset, net transaction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provision in accordance with IAS 37, Provisions, Contingent Liabilities and Contingent Assets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or deferred taxes are recognized in profit or loss, except to the extent that they relate to items which are recognized in other comprehensive income or equity.</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taxes: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by the reporting date, as well as adjustments required in connection with the tax liability in respect of previous years. See Note 17(a) below for the applicable tax rates.</w:t>
      </w:r>
    </w:p>
    <w:p>
      <w:pPr>
        <w:spacing w:after="0" w:line="17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taxes:</w:t>
      </w:r>
    </w:p>
    <w:p>
      <w:pPr>
        <w:spacing w:after="0" w:line="229" w:lineRule="exact"/>
        <w:rPr>
          <w:rFonts w:ascii="Times New Roman" w:cs="Times New Roman" w:eastAsia="Times New Roman" w:hAnsi="Times New Roman"/>
          <w:sz w:val="18"/>
          <w:szCs w:val="18"/>
          <w:b w:val="1"/>
          <w:bCs w:val="1"/>
          <w:color w:val="auto"/>
        </w:rPr>
      </w:pPr>
    </w:p>
    <w:p>
      <w:pPr>
        <w:ind w:left="19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w:t>
      </w:r>
    </w:p>
    <w:p>
      <w:pPr>
        <w:spacing w:after="0" w:line="161"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measured at the tax rate that is expected to apply when the asset is realized or the liability is settled, based on tax laws that have been enacted or substantively enacted by the reporting date. For further information, please refer to Note 17 below.</w:t>
      </w:r>
    </w:p>
    <w:p>
      <w:pPr>
        <w:spacing w:after="0" w:line="175"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that they will be utilized. Deductible carry forward losses and temporary differences for which deferred tax assets had not been recognized are reviewed at each reporting date and a respective deferred tax asset is recognized to the extent that their utilization is probable.</w:t>
      </w:r>
    </w:p>
    <w:p>
      <w:pPr>
        <w:spacing w:after="0" w:line="175"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taxes that would apply in the event that the investments in subsidiaries were realized were not taken into account in the calculation of the deferred taxes, since the Group intends to hold and develop these investments. In addition, the deferred taxes on distribution of earnings by subsidiaries as dividends were not taken into account, since the dividends are not taxable or since a decision has been made not to distribute taxable dividends in the foreseeable future.</w:t>
      </w:r>
    </w:p>
    <w:p>
      <w:pPr>
        <w:spacing w:after="0" w:line="17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offset if there is a legally enforceable right to offset a current tax asset against a current tax liability and the deferred taxes relate to the same taxpayer and the same taxation authority.</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tax positions arise from tax positions applied by the Group which may be challenged by the tax authorities due to the complexity of the transaction or different interpretation of the tax laws, a claim for rectification brought by the Group, an appeal for a refund claimed from the tax authorities related to additional assessments or a tax investigation by the tax authorities. The Group recognizes its uncertain tax positions in the consolidated financial statements in accordance with IAS 12 Income Taxes and IFRIC 23 Uncertainty over Income Tax positions. The income tax asset is recognized if a tax refund is probable for taxes paid and levied by the tax authority, and the amount to be paid as a result of the tax investigation and others is recognized as a current tax payable.</w:t>
      </w:r>
    </w:p>
    <w:p>
      <w:pPr>
        <w:spacing w:after="0" w:line="188"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classifies interest and penalties on income taxes (which includes uncertain tax positions) as taxes on income.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and financial liabilities are recognized in the Group’s statement of financial position when the Group becomes a party to the contractual provisions of the instrument.</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the financial liabilities, as appropriate, on initial recognition. Transaction costs directly attributable to the acquisition of financial assets or financial liabilities are immediately recognized at fair value through profit or loss.</w:t>
      </w:r>
    </w:p>
    <w:p>
      <w:pPr>
        <w:spacing w:after="0" w:line="17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Subsequent to their initial recognition, financial assets will be measured at amortized cost or at fair value, according to their classification.</w:t>
      </w:r>
    </w:p>
    <w:p>
      <w:pPr>
        <w:spacing w:after="0" w:line="158" w:lineRule="exact"/>
        <w:rPr>
          <w:sz w:val="20"/>
          <w:szCs w:val="20"/>
          <w:color w:val="auto"/>
        </w:rPr>
      </w:pPr>
    </w:p>
    <w:p>
      <w:pPr>
        <w:ind w:left="2600" w:hanging="648"/>
        <w:spacing w:after="0"/>
        <w:tabs>
          <w:tab w:leader="none" w:pos="26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Classification of financial assets:</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Debt instruments that meet the following conditions are subsequently measured at amortized cost:</w:t>
      </w:r>
    </w:p>
    <w:p>
      <w:pPr>
        <w:spacing w:after="0" w:line="225" w:lineRule="exact"/>
        <w:rPr>
          <w:sz w:val="20"/>
          <w:szCs w:val="20"/>
          <w:color w:val="auto"/>
        </w:rPr>
      </w:pPr>
    </w:p>
    <w:p>
      <w:pPr>
        <w:ind w:left="3240" w:hanging="640"/>
        <w:spacing w:after="0" w:line="282" w:lineRule="auto"/>
        <w:tabs>
          <w:tab w:leader="none" w:pos="3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hold financial assets in order to collect contractual cash flows; and.</w:t>
      </w:r>
    </w:p>
    <w:p>
      <w:pPr>
        <w:spacing w:after="0" w:line="161"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the financial asset give rise on specified dates to cash flows that are solely payments of principal and interest on the principal amount outstanding.</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All other financial assets are subsequently measured at fair value through profit or loss (“FVTPL”).</w:t>
      </w:r>
    </w:p>
    <w:p>
      <w:pPr>
        <w:spacing w:after="0" w:line="221" w:lineRule="exact"/>
        <w:rPr>
          <w:sz w:val="20"/>
          <w:szCs w:val="20"/>
          <w:color w:val="auto"/>
        </w:rPr>
      </w:pPr>
    </w:p>
    <w:p>
      <w:pPr>
        <w:ind w:left="2600" w:hanging="648"/>
        <w:spacing w:after="0"/>
        <w:tabs>
          <w:tab w:leader="none" w:pos="26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Derecognition of financial assets:</w:t>
      </w:r>
    </w:p>
    <w:p>
      <w:pPr>
        <w:spacing w:after="0" w:line="229" w:lineRule="exact"/>
        <w:rPr>
          <w:rFonts w:ascii="Times New Roman" w:cs="Times New Roman" w:eastAsia="Times New Roman" w:hAnsi="Times New Roman"/>
          <w:sz w:val="18"/>
          <w:szCs w:val="18"/>
          <w:b w:val="1"/>
          <w:bCs w:val="1"/>
          <w:color w:val="auto"/>
        </w:rPr>
      </w:pPr>
    </w:p>
    <w:p>
      <w:pPr>
        <w:jc w:val="both"/>
        <w:ind w:left="2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derecognizes a financial asset only when the contractual rights to the cash flows from the asset expire, or when it transfers the financial asset and substantially all the risks and rewards of ownership of the asset to another entity.</w:t>
      </w:r>
    </w:p>
    <w:p>
      <w:pPr>
        <w:spacing w:after="0" w:line="175" w:lineRule="exact"/>
        <w:rPr>
          <w:rFonts w:ascii="Times New Roman" w:cs="Times New Roman" w:eastAsia="Times New Roman" w:hAnsi="Times New Roman"/>
          <w:sz w:val="18"/>
          <w:szCs w:val="18"/>
          <w:b w:val="1"/>
          <w:bCs w:val="1"/>
          <w:color w:val="auto"/>
        </w:rPr>
      </w:pPr>
    </w:p>
    <w:p>
      <w:pPr>
        <w:jc w:val="both"/>
        <w:ind w:left="2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Group enters into a pass-through arrangement (i.e., the Group agrees to receive cash flows and has a concurrent obligation to pay those cash flows to the eventual recipient), the Group accounts for the transaction as a transfer of a financial asset if, and only if, all of the following conditions are met:</w:t>
      </w:r>
    </w:p>
    <w:p>
      <w:pPr>
        <w:spacing w:after="0" w:line="175" w:lineRule="exact"/>
        <w:rPr>
          <w:rFonts w:ascii="Times New Roman" w:cs="Times New Roman" w:eastAsia="Times New Roman" w:hAnsi="Times New Roman"/>
          <w:sz w:val="18"/>
          <w:szCs w:val="18"/>
          <w:b w:val="1"/>
          <w:bCs w:val="1"/>
          <w:color w:val="auto"/>
        </w:rPr>
      </w:pPr>
    </w:p>
    <w:p>
      <w:pPr>
        <w:ind w:left="3240" w:hanging="640"/>
        <w:spacing w:after="0" w:line="282" w:lineRule="auto"/>
        <w:tabs>
          <w:tab w:leader="none" w:pos="3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no obligation to pay amounts to the eventual recipients unless it collects equivalent amounts from the original asset;</w:t>
      </w:r>
    </w:p>
    <w:p>
      <w:pPr>
        <w:spacing w:after="0" w:line="161"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prohibited by the terms of the transfer arrangement from selling or pledging the original asset other than as security to the eventual recipients for the obligation to pay them cash flows;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 (cont.)</w:t>
      </w:r>
    </w:p>
    <w:p>
      <w:pPr>
        <w:spacing w:after="0" w:line="229" w:lineRule="exact"/>
        <w:rPr>
          <w:rFonts w:ascii="Times New Roman" w:cs="Times New Roman" w:eastAsia="Times New Roman" w:hAnsi="Times New Roman"/>
          <w:sz w:val="18"/>
          <w:szCs w:val="18"/>
          <w:b w:val="1"/>
          <w:bCs w:val="1"/>
          <w:color w:val="auto"/>
        </w:rPr>
      </w:pPr>
    </w:p>
    <w:p>
      <w:pPr>
        <w:jc w:val="both"/>
        <w:ind w:left="3240" w:hanging="640"/>
        <w:spacing w:after="0" w:line="261" w:lineRule="auto"/>
        <w:tabs>
          <w:tab w:leader="none" w:pos="32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an obligation to pass on or remit the cash flows that it has collected on behalf of the eventual recipients without material delay, is prohibited from reinvesting the cash flows received in the short settlement period between receiving them and remitting them to the eventual recipient in anything other than cash or cash equivalents and any interest earned on such investments must be passed on to the eventual recipients.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liabilities and equity:</w:t>
      </w:r>
    </w:p>
    <w:p>
      <w:pPr>
        <w:spacing w:after="0" w:line="229"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Financial instruments issued by the Group are classified as either financial liabilities or as equity instruments in accordance with the substance of the contractual arrangements and the definitions of a financial liability and an equity instrument.</w:t>
      </w:r>
    </w:p>
    <w:p>
      <w:pPr>
        <w:spacing w:after="0" w:line="158" w:lineRule="exact"/>
        <w:rPr>
          <w:sz w:val="20"/>
          <w:szCs w:val="20"/>
          <w:color w:val="auto"/>
        </w:rPr>
      </w:pPr>
    </w:p>
    <w:p>
      <w:pPr>
        <w:ind w:left="2600" w:hanging="648"/>
        <w:spacing w:after="0"/>
        <w:tabs>
          <w:tab w:leader="none" w:pos="26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instruments:</w:t>
      </w:r>
    </w:p>
    <w:p>
      <w:pPr>
        <w:spacing w:after="0" w:line="229" w:lineRule="exact"/>
        <w:rPr>
          <w:sz w:val="20"/>
          <w:szCs w:val="20"/>
          <w:color w:val="auto"/>
        </w:rPr>
      </w:pPr>
    </w:p>
    <w:p>
      <w:pPr>
        <w:ind w:left="2560"/>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the entity after deducting all of its liabilities.</w:t>
      </w:r>
    </w:p>
    <w:p>
      <w:pPr>
        <w:spacing w:after="0" w:line="16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 financial instrument is an equity instrument if, and only if, the following conditions are met:</w:t>
      </w:r>
    </w:p>
    <w:p>
      <w:pPr>
        <w:spacing w:after="0" w:line="225" w:lineRule="exact"/>
        <w:rPr>
          <w:sz w:val="20"/>
          <w:szCs w:val="20"/>
          <w:color w:val="auto"/>
        </w:rPr>
      </w:pPr>
    </w:p>
    <w:p>
      <w:pPr>
        <w:jc w:val="both"/>
        <w:ind w:left="3240" w:hanging="640"/>
        <w:spacing w:after="0" w:line="261" w:lineRule="auto"/>
        <w:tabs>
          <w:tab w:leader="none" w:pos="32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instrument includes no contractual obligation to deliver cash or another financial asset to another entity (other than upon a liquidation event), or to exchange financial assets or financial liabilities with another entity under conditions that are potentially unfavourable to the issuer, or upon other events that are within the control of the issuer; and</w:t>
      </w:r>
    </w:p>
    <w:p>
      <w:pPr>
        <w:spacing w:after="0" w:line="179" w:lineRule="exact"/>
        <w:rPr>
          <w:rFonts w:ascii="Times New Roman" w:cs="Times New Roman" w:eastAsia="Times New Roman" w:hAnsi="Times New Roman"/>
          <w:sz w:val="18"/>
          <w:szCs w:val="18"/>
          <w:b w:val="1"/>
          <w:bCs w:val="1"/>
          <w:color w:val="auto"/>
        </w:rPr>
      </w:pPr>
    </w:p>
    <w:p>
      <w:pPr>
        <w:jc w:val="both"/>
        <w:ind w:left="3240" w:hanging="640"/>
        <w:spacing w:after="0" w:line="261" w:lineRule="auto"/>
        <w:tabs>
          <w:tab w:leader="none" w:pos="32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instrument will or may be settled in the issuer’s own equity instruments, it is a non-derivative that includes no contractual obligation for the issuer to deliver a variable number of its own equity instrument, or it is a derivative that will be settled only by the issuer exchanging a fixed amount of cash or another financial asset for a fixed number of its own equity instruments.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liabilities and equity: (cont.)</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liabilities:</w:t>
      </w:r>
    </w:p>
    <w:p>
      <w:pPr>
        <w:spacing w:after="0" w:line="229" w:lineRule="exact"/>
        <w:rPr>
          <w:rFonts w:ascii="Times New Roman" w:cs="Times New Roman" w:eastAsia="Times New Roman" w:hAnsi="Times New Roman"/>
          <w:sz w:val="18"/>
          <w:szCs w:val="18"/>
          <w:b w:val="1"/>
          <w:bCs w:val="1"/>
          <w:color w:val="auto"/>
        </w:rPr>
      </w:pPr>
    </w:p>
    <w:p>
      <w:pPr>
        <w:ind w:left="2600" w:right="7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liabilities are presented and measured either at amortized cost or at fair value through profit or loss. Financial liabilities measured subsequently at amortized cost:</w:t>
      </w:r>
    </w:p>
    <w:p>
      <w:pPr>
        <w:spacing w:after="0" w:line="1" w:lineRule="exact"/>
        <w:rPr>
          <w:rFonts w:ascii="Times New Roman" w:cs="Times New Roman" w:eastAsia="Times New Roman" w:hAnsi="Times New Roman"/>
          <w:sz w:val="18"/>
          <w:szCs w:val="18"/>
          <w:b w:val="1"/>
          <w:bCs w:val="1"/>
          <w:color w:val="auto"/>
        </w:rPr>
      </w:pPr>
    </w:p>
    <w:p>
      <w:pPr>
        <w:jc w:val="both"/>
        <w:ind w:left="26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interest method is a method of calculating the amortized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amortized cost of a financial liability.</w:t>
      </w:r>
    </w:p>
    <w:p>
      <w:pPr>
        <w:spacing w:after="0" w:line="183" w:lineRule="exact"/>
        <w:rPr>
          <w:rFonts w:ascii="Times New Roman" w:cs="Times New Roman" w:eastAsia="Times New Roman" w:hAnsi="Times New Roman"/>
          <w:sz w:val="18"/>
          <w:szCs w:val="18"/>
          <w:b w:val="1"/>
          <w:bCs w:val="1"/>
          <w:color w:val="auto"/>
        </w:rPr>
      </w:pPr>
    </w:p>
    <w:p>
      <w:pPr>
        <w:jc w:val="both"/>
        <w:ind w:left="26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financial assets and liabilities measured at amortized cost, including; cash and cash equivalents, loans to users, other receivable and prepaid expenses, lease liabilities, accrued expenses and other payable, approximate their carrying amount.</w:t>
      </w:r>
    </w:p>
    <w:p>
      <w:pPr>
        <w:spacing w:after="0" w:line="175" w:lineRule="exact"/>
        <w:rPr>
          <w:rFonts w:ascii="Times New Roman" w:cs="Times New Roman" w:eastAsia="Times New Roman" w:hAnsi="Times New Roman"/>
          <w:sz w:val="18"/>
          <w:szCs w:val="18"/>
          <w:b w:val="1"/>
          <w:bCs w:val="1"/>
          <w:color w:val="auto"/>
        </w:rPr>
      </w:pPr>
    </w:p>
    <w:p>
      <w:pPr>
        <w:ind w:left="2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liabilities at fair value through profit or loss:</w:t>
      </w:r>
    </w:p>
    <w:p>
      <w:pPr>
        <w:spacing w:after="0" w:line="225" w:lineRule="exact"/>
        <w:rPr>
          <w:rFonts w:ascii="Times New Roman" w:cs="Times New Roman" w:eastAsia="Times New Roman" w:hAnsi="Times New Roman"/>
          <w:sz w:val="18"/>
          <w:szCs w:val="18"/>
          <w:b w:val="1"/>
          <w:bCs w:val="1"/>
          <w:color w:val="auto"/>
        </w:rPr>
      </w:pPr>
    </w:p>
    <w:p>
      <w:pPr>
        <w:jc w:val="both"/>
        <w:ind w:left="2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liabilities are classified as at FVTPL when the financial liability is Contingent Consideration of an acquirer in a business combination, held for trading or it is designated as at FVTPL. A financial liability is classified as held for trading if:</w:t>
      </w:r>
    </w:p>
    <w:p>
      <w:pPr>
        <w:spacing w:after="0" w:line="175"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acquired principally for the purpose of repurchasing it in the near term;</w:t>
      </w:r>
    </w:p>
    <w:p>
      <w:pPr>
        <w:spacing w:after="0" w:line="225" w:lineRule="exact"/>
        <w:rPr>
          <w:rFonts w:ascii="Times New Roman" w:cs="Times New Roman" w:eastAsia="Times New Roman" w:hAnsi="Times New Roman"/>
          <w:sz w:val="18"/>
          <w:szCs w:val="18"/>
          <w:color w:val="auto"/>
        </w:rPr>
      </w:pPr>
    </w:p>
    <w:p>
      <w:pPr>
        <w:ind w:left="3240" w:right="20" w:hanging="640"/>
        <w:spacing w:after="0" w:line="282" w:lineRule="auto"/>
        <w:tabs>
          <w:tab w:leader="none" w:pos="3240"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initial recognition it is part of a portfolio of identified financial instruments that the Group manages together and has a recent actual pattern of short-term profit-taking; or</w:t>
      </w:r>
    </w:p>
    <w:p>
      <w:pPr>
        <w:spacing w:after="0" w:line="161" w:lineRule="exact"/>
        <w:rPr>
          <w:rFonts w:ascii="Times New Roman" w:cs="Times New Roman" w:eastAsia="Times New Roman" w:hAnsi="Times New Roman"/>
          <w:sz w:val="18"/>
          <w:szCs w:val="18"/>
          <w:color w:val="auto"/>
        </w:rPr>
      </w:pPr>
    </w:p>
    <w:p>
      <w:pPr>
        <w:ind w:left="3240" w:right="20" w:hanging="640"/>
        <w:spacing w:after="0" w:line="282" w:lineRule="auto"/>
        <w:tabs>
          <w:tab w:leader="none" w:pos="3240"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derivative, except for a derivative that is a financial guarantee contract or a designated and effective hedging instrument.</w:t>
      </w:r>
    </w:p>
    <w:p>
      <w:pPr>
        <w:spacing w:after="0" w:line="15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Derecognition of financial liabilities:</w:t>
      </w:r>
    </w:p>
    <w:p>
      <w:pPr>
        <w:spacing w:after="0" w:line="229" w:lineRule="exact"/>
        <w:rPr>
          <w:rFonts w:ascii="Times New Roman" w:cs="Times New Roman" w:eastAsia="Times New Roman" w:hAnsi="Times New Roman"/>
          <w:sz w:val="18"/>
          <w:szCs w:val="18"/>
          <w:b w:val="1"/>
          <w:bCs w:val="1"/>
          <w:color w:val="auto"/>
        </w:rPr>
      </w:pPr>
    </w:p>
    <w:p>
      <w:pPr>
        <w:jc w:val="both"/>
        <w:ind w:left="2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7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non-designated as hedges:</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enters into contracts for derivative financial instruments to hedge its risks associated with users’ trading activity recorded in net trading income (see note 2r above).</w:t>
      </w:r>
    </w:p>
    <w:p>
      <w:pPr>
        <w:spacing w:after="0" w:line="161"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gains or losses arising from changes in the fair values of other non-designated derivatives are recorded as finance income or expense in the statement of profit or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Hedge accounting:</w:t>
      </w:r>
    </w:p>
    <w:p>
      <w:pPr>
        <w:spacing w:after="0" w:line="229"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designates certain derivatives as hedging instruments in respect of foreign currency risk in cash flow hedges.</w:t>
      </w:r>
    </w:p>
    <w:p>
      <w:pPr>
        <w:spacing w:after="0" w:line="225" w:lineRule="exact"/>
        <w:rPr>
          <w:rFonts w:ascii="Times New Roman" w:cs="Times New Roman" w:eastAsia="Times New Roman" w:hAnsi="Times New Roman"/>
          <w:sz w:val="18"/>
          <w:szCs w:val="18"/>
          <w:b w:val="1"/>
          <w:bCs w:val="1"/>
          <w:color w:val="auto"/>
        </w:rPr>
      </w:pPr>
    </w:p>
    <w:p>
      <w:pPr>
        <w:jc w:val="both"/>
        <w:ind w:left="19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inception of the hedge relationship, the Group documents the relationship between the hedging instrument and the hedged item, along with its risk management objectives and its strategy for undertaking various hedge transactions. Furthermore, at the inception of the hedge and on an ongoing basis, the Group documents whether the hedging instrument is effective in offsetting changes in cash flows of the hedged item attributable to the hedged risk, which is when the hedging relationships meet all of the following hedge effectiveness requirements:</w:t>
      </w:r>
    </w:p>
    <w:p>
      <w:pPr>
        <w:spacing w:after="0" w:line="183"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economic relationship between the hedged item and the hedging instrument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credit risk does not dominate the value changes that result from that economic relationship.</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 ratio of the hedging relationship is the same as that resulting from the quantity of the hedged item that the group actually hedges and the quantity of the hedging instrument that the group actually uses to hedge that quantity of hedged item</w:t>
      </w:r>
    </w:p>
    <w:p>
      <w:pPr>
        <w:spacing w:after="0" w:line="176"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The Group designates the full change in the fair value of a forward contract (i.e. including the forward elements) as the hedging instrument for all of its hedging relationships involving forward contracts.</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and other qualifying hedging instruments that are designated and qualify as cash flow hedges is recognised in other comprehensive income and accumulated under the heading of cash flow hedging reserve, limited to the cumulative change in fair value of the hedged item from inception of the hedge. The gain or loss relating to the ineffective portion is recognised immediately in finance and other expense, net.</w:t>
      </w:r>
    </w:p>
    <w:p>
      <w:pPr>
        <w:spacing w:after="0" w:line="180" w:lineRule="exact"/>
        <w:rPr>
          <w:sz w:val="20"/>
          <w:szCs w:val="20"/>
          <w:color w:val="auto"/>
        </w:rPr>
      </w:pPr>
    </w:p>
    <w:p>
      <w:pPr>
        <w:jc w:val="both"/>
        <w:ind w:left="1960" w:right="20"/>
        <w:spacing w:after="0" w:line="282" w:lineRule="auto"/>
        <w:rPr>
          <w:sz w:val="20"/>
          <w:szCs w:val="20"/>
          <w:color w:val="auto"/>
        </w:rPr>
      </w:pPr>
      <w:r>
        <w:rPr>
          <w:rFonts w:ascii="Times New Roman" w:cs="Times New Roman" w:eastAsia="Times New Roman" w:hAnsi="Times New Roman"/>
          <w:sz w:val="18"/>
          <w:szCs w:val="18"/>
          <w:color w:val="auto"/>
        </w:rPr>
        <w:t>Amounts previously recognised in other comprehensive income and accumulated in equity are reclassified to profit or loss in the periods when the hedged item affects profit or loss, in the same line as the recognised hedged item.</w:t>
      </w:r>
    </w:p>
    <w:p>
      <w:pPr>
        <w:spacing w:after="0" w:line="162"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In addition, the Company uses financial instruments in order to hedge the changes in fair value of certain liabilities in respect of earnings related to employee investment plan. See note 2k.</w:t>
      </w:r>
    </w:p>
    <w:p>
      <w:pPr>
        <w:spacing w:after="0" w:line="158" w:lineRule="exact"/>
        <w:rPr>
          <w:sz w:val="20"/>
          <w:szCs w:val="20"/>
          <w:color w:val="auto"/>
        </w:rPr>
      </w:pPr>
    </w:p>
    <w:p>
      <w:pPr>
        <w:ind w:left="1960" w:hanging="656"/>
        <w:spacing w:after="0"/>
        <w:tabs>
          <w:tab w:leader="none" w:pos="19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Non-designated hedge accounting</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financial instruments in order to economically hedge the changes in fair value of certain liabilities in respect of earnings related to its employee investment plan. Although the Company does not apply hedge accounting for such financial instruments, changes in the fair value of these instruments are presented in the same line item, whereby the costs associated with the employee investment plan are presented. See note 2k.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17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valuation techniques that are appropriate in the circumstances and for which sufficient data is available to measure fair value, maximizing the use of relevant observable inputs and minimizing the use of unobservable inputs.</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All assets and liabilities measured at fair value or for which fair value is disclosed are categorized into levels within the fair value hierarchy based on the lowest level input that is significant to the entire fair value measurement: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quoted prices (unadjusted) in active markets for identical assets or liabilities.</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other than quoted prices included within Level 1 that are observable directly or indirectly.</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that are not based on observable market data (valuation techniques which use inputs that are not based on</w:t>
            </w:r>
          </w:p>
        </w:tc>
      </w:tr>
      <w:tr>
        <w:trPr>
          <w:trHeight w:val="234"/>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observable market data).</w:t>
            </w:r>
          </w:p>
        </w:tc>
      </w:tr>
    </w:tbl>
    <w:p>
      <w:pPr>
        <w:spacing w:after="0" w:line="194"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a contract as a lease when the contract terms convey the right to control the use of an identified asset for a period of time in exchange for consideration.</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Group as a lessee:</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spacing w:after="0" w:line="187"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spacing w:after="0" w:line="175"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are the amortization periods of the right-of-use assets by class of underlying asset:</w:t>
      </w:r>
    </w:p>
    <w:p>
      <w:pPr>
        <w:spacing w:after="0" w:line="235" w:lineRule="exact"/>
        <w:rPr>
          <w:sz w:val="20"/>
          <w:szCs w:val="20"/>
          <w:color w:val="auto"/>
        </w:rPr>
      </w:pPr>
    </w:p>
    <w:p>
      <w:pPr>
        <w:ind w:left="9080"/>
        <w:spacing w:after="0"/>
        <w:tabs>
          <w:tab w:leader="none" w:pos="10340" w:val="left"/>
        </w:tabs>
        <w:rPr>
          <w:sz w:val="20"/>
          <w:szCs w:val="20"/>
          <w:color w:val="auto"/>
        </w:rPr>
      </w:pPr>
      <w:r>
        <w:rPr>
          <w:rFonts w:ascii="Times New Roman" w:cs="Times New Roman" w:eastAsia="Times New Roman" w:hAnsi="Times New Roman"/>
          <w:sz w:val="18"/>
          <w:szCs w:val="18"/>
          <w:b w:val="1"/>
          <w:bCs w:val="1"/>
          <w:color w:val="auto"/>
        </w:rPr>
        <w:t>Years</w:t>
      </w:r>
      <w:r>
        <w:rPr>
          <w:sz w:val="20"/>
          <w:szCs w:val="20"/>
          <w:color w:val="auto"/>
        </w:rPr>
        <w:tab/>
      </w:r>
      <w:r>
        <w:rPr>
          <w:rFonts w:ascii="Times New Roman" w:cs="Times New Roman" w:eastAsia="Times New Roman" w:hAnsi="Times New Roman"/>
          <w:sz w:val="18"/>
          <w:szCs w:val="18"/>
          <w:b w:val="1"/>
          <w:bCs w:val="1"/>
          <w:color w:val="auto"/>
        </w:rPr>
        <w:t>Mainly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62877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space</w:t>
            </w:r>
          </w:p>
        </w:tc>
        <w:tc>
          <w:tcPr>
            <w:tcW w:w="514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color w:val="auto"/>
              </w:rPr>
              <w:t>1 – 15.75</w:t>
            </w:r>
          </w:p>
        </w:tc>
        <w:tc>
          <w:tcPr>
            <w:tcW w:w="11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lease payments that depend on an index:</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commencement date, the Company uses the index rate prevailing on the commencement date to calculate the future lease payments. For leases in which the Company is the lessee, the aggregate changes in future lease payments resulting from a change in the index are discounted (without a change in the discount rate applicable to the lease liability) and recorded as an adjustment of the lease liability and the right-of-use asset, only when there is a change in the cash flows resulting from the change in the index (that is, when the adjustment to the lease payments takes effect).</w:t>
      </w:r>
    </w:p>
    <w:p>
      <w:pPr>
        <w:spacing w:after="0" w:line="17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extension and termination options: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non-cancellable lease term includes both the periods covered by an option to extend the lease when it is reasonably certain that the extension option will be exercised, and the periods covered by a lease termination option when it is reasonably certain that the termination option will not be exercised. In the event of any change in the expected exercise of the lease extension option or in the expected non-exercise of the lease termination option as a result of a significant event or a significant change in circumstances that is within the control of the Company, the Company revises the lease term and remeasures the lease liability based on the revised lease term using a revised discount rate as of the date of the change in expectations. The total change is recognized against the carrying amount of the right-of-use asset until it is reduced to zero, and any further reductions are recognized in profit or loss.</w:t>
      </w:r>
    </w:p>
    <w:p>
      <w:pPr>
        <w:spacing w:after="0" w:line="18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Own equity instruments that are reacquired (treasury shares) are recognised at cost and deducted from equity. No gain or loss is recognised in profit or loss on the purchase, sale, issue or cancellation of the Group’s own equity instruments. Any difference between the carrying amount and the consideration, if reissued, is recognised in the share premium. In November 2025, the Company entered an accelerated share purchase transaction, for further information see note 16.</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YET ADOPTED SIGNIFICANT NEW OR AMENDED IFRS STANDARS OR INTERPRETATIONS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IFRS 18 Presentation and Disclosures in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IFRS 18 Presentation and Disclosure in Financial Statements was issued by the International Accounting Standards Board in April 2024. IFRS 18 is effective on January 1, 2027, and is required to be applied retrospectively to comparative periods presented, with early adoption permitted. IFRS 18, upon adoption replaces IAS Standards 1 - Presentation of Financial Statements.</w:t>
      </w:r>
    </w:p>
    <w:p>
      <w:pPr>
        <w:spacing w:after="0" w:line="179"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IFRS 18 sets out new requirements focused on improving financial reporting by:</w:t>
      </w:r>
    </w:p>
    <w:p>
      <w:pPr>
        <w:spacing w:after="0" w:line="225" w:lineRule="exact"/>
        <w:rPr>
          <w:rFonts w:ascii="Times New Roman" w:cs="Times New Roman" w:eastAsia="Times New Roman" w:hAnsi="Times New Roman"/>
          <w:sz w:val="18"/>
          <w:szCs w:val="18"/>
          <w:b w:val="1"/>
          <w:bCs w:val="1"/>
          <w:color w:val="auto"/>
        </w:rPr>
      </w:pPr>
    </w:p>
    <w:p>
      <w:pPr>
        <w:jc w:val="both"/>
        <w:ind w:left="2600" w:hanging="648"/>
        <w:spacing w:after="0" w:line="261" w:lineRule="auto"/>
        <w:tabs>
          <w:tab w:leader="none" w:pos="26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additional defined structure to the statement of profit or loss (i.e. consolidated statement of income), to reduce diversity in the reporting, by requiring five categories (operating, investing, financing, income taxes and discontinued operations) and defined subtotals and totals (operating income, income before financing, income taxes and net income),</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disclosures in the notes to the financial statements about management-defined performance measures (i.e. non-IFRS measures),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principles for aggregation and disaggregation of information in the primary financial statements and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YET ADOPTED SIGNIFICANT NEW OR AMENDED IFRS STANDARS OR INTERPRETATIONS (Cont.)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IFRS 18 will not impact the recognition or measurement of items in the financial statements, but it might change what an entity reports as its ‘operating profit or loss’, due to the classification of certain income and expense items between the five categories of the consolidated income statement. It might also change what an entity reports as operating activities, investing activities and financing activities within the statement of cash flows, due to the change in classification of certain cash flow items between these three categories of the cash flows statement.</w:t>
      </w:r>
    </w:p>
    <w:p>
      <w:pPr>
        <w:spacing w:after="0" w:line="183"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currently assessing the impact of adopting IFRS 18.</w:t>
      </w:r>
    </w:p>
    <w:p>
      <w:pPr>
        <w:spacing w:after="0" w:line="22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Classification and Measurement of Financial Instruments—Amendments to IFRS 9 and IFRS 7:</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2024, the IASB issued Amendments to IFRS 9 and IFRS 7, Amendments to the Classification and Measurement of Financial Instruments (the Amendments). The Amendments include:</w:t>
      </w:r>
    </w:p>
    <w:p>
      <w:pPr>
        <w:spacing w:after="0" w:line="161" w:lineRule="exact"/>
        <w:rPr>
          <w:rFonts w:ascii="Times New Roman" w:cs="Times New Roman" w:eastAsia="Times New Roman" w:hAnsi="Times New Roman"/>
          <w:sz w:val="18"/>
          <w:szCs w:val="18"/>
          <w:b w:val="1"/>
          <w:bCs w:val="1"/>
          <w:color w:val="auto"/>
        </w:rPr>
      </w:pPr>
    </w:p>
    <w:p>
      <w:pPr>
        <w:jc w:val="both"/>
        <w:ind w:left="2600" w:right="20" w:hanging="648"/>
        <w:spacing w:after="0" w:line="266" w:lineRule="auto"/>
        <w:tabs>
          <w:tab w:leader="none" w:pos="26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clarification that a financial liability is derecognised on the ‘settlement date’ and the introduction of an accounting policy choice (if specific conditions are met) to derecognise financial liabilities settled using an electronic payment system before the settlement date.</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guidance on how the contractual cash flows for financial assets with environmental, social and corporate governance (ESG) and similar features should be assessed.</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Clarifications on what constitute ‘non-recourse features’ and what are the characteristics of contractually linked instruments.</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disclosures for financial instruments with contingent features and additional disclosure requirements for equity instruments classified at fair value through other comprehensive income (OCI).</w:t>
      </w:r>
    </w:p>
    <w:p>
      <w:pPr>
        <w:spacing w:after="0" w:line="162"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The Amendments are effective for annual periods starting on or after 1 January 2026 with early adoption permitted for classification of financial assets and related disclosures only.</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Group does not anticipate that the amendments will have a material effect on the Group’s financial statements.</w:t>
      </w:r>
    </w:p>
    <w:p>
      <w:pPr>
        <w:spacing w:after="0" w:line="221" w:lineRule="exact"/>
        <w:rPr>
          <w:sz w:val="20"/>
          <w:szCs w:val="20"/>
          <w:color w:val="auto"/>
        </w:rPr>
      </w:pPr>
    </w:p>
    <w:p>
      <w:pPr>
        <w:ind w:left="1960" w:hanging="656"/>
        <w:spacing w:after="0"/>
        <w:tabs>
          <w:tab w:leader="none" w:pos="19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Improvements to IFRS Accounting Standards - Volume 11:</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2024, the IASB issued nine narrow scope amendments as part of its periodic maintenance of IFRS accounting standards. The amendments include clarifications, simplifications, corrections or changes to improve consistency in IFRS 1 First-time Adoption of International Financial Reporting Standards, IFRS 7 Financial instruments: Disclosure and its accompanying Guidance on implementing IFRS 7, IFRS 9 Financial Instruments, IFRS 10 Consolidated Financial Statements and IAS 7 Statements of Cash Flows.</w:t>
      </w:r>
    </w:p>
    <w:p>
      <w:pPr>
        <w:spacing w:after="0" w:line="183" w:lineRule="exact"/>
        <w:rPr>
          <w:rFonts w:ascii="Times New Roman" w:cs="Times New Roman" w:eastAsia="Times New Roman" w:hAnsi="Times New Roman"/>
          <w:sz w:val="18"/>
          <w:szCs w:val="18"/>
          <w:b w:val="1"/>
          <w:bCs w:val="1"/>
          <w:color w:val="auto"/>
        </w:rPr>
      </w:pPr>
    </w:p>
    <w:p>
      <w:pPr>
        <w:ind w:left="19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amendments will be effective for reporting periods beginning on or after 1 January 2026. Earlier application is permitted and must be disclosed.</w:t>
      </w:r>
    </w:p>
    <w:p>
      <w:pPr>
        <w:spacing w:after="0" w:line="16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amendments are not expected to have a material impact on the Group’s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3 - SIGNIFICANT ACCOUNTING JUDGMENTS, ESTIMATES AND ASSUMPTIONS USED IN THE PREPARATION OF THE FINANCIAL STATEMENTS</w:t>
      </w:r>
    </w:p>
    <w:p>
      <w:pPr>
        <w:spacing w:after="0" w:line="15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management to make estimates and assumptions and exercise significant judgements that have an effect on the application of the accounting policies and on the reported amounts of assets, liabilities, net trading income and expenses. Changes in accounting estimates are reported in the period of the change in estimate.</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key assumptions made in the financial statements concerning uncertainties at the end of the reporting period and the critical estimates and significant judgment determined by the Group that may result in a material adjustment to the carrying amounts of assets and liabilities within the next financial year are discussed below.</w:t>
      </w:r>
    </w:p>
    <w:p>
      <w:pPr>
        <w:spacing w:after="0" w:line="176" w:lineRule="exact"/>
        <w:rPr>
          <w:sz w:val="20"/>
          <w:szCs w:val="20"/>
          <w:color w:val="auto"/>
        </w:rPr>
      </w:pPr>
    </w:p>
    <w:p>
      <w:pPr>
        <w:ind w:left="1960" w:hanging="656"/>
        <w:spacing w:after="0"/>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cryptoassets held on behalf of users:</w:t>
      </w:r>
    </w:p>
    <w:p>
      <w:pPr>
        <w:spacing w:after="0" w:line="225" w:lineRule="exact"/>
        <w:rPr>
          <w:rFonts w:ascii="Times New Roman" w:cs="Times New Roman" w:eastAsia="Times New Roman" w:hAnsi="Times New Roman"/>
          <w:sz w:val="18"/>
          <w:szCs w:val="18"/>
          <w:color w:val="auto"/>
        </w:rPr>
      </w:pPr>
    </w:p>
    <w:p>
      <w:pPr>
        <w:jc w:val="both"/>
        <w:ind w:left="19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does not define the accounting treatment for cryptoassets and more specifically, the accounting for cryptoassets held on behalf of users. The Company considered the guidance of IAS 8, Accounting Policies, Changes in Accounting Estimates and Errors that allows an entity to consider the most recent pronouncements of other standard-setting bodies, other accounting literature and accepted industry practice.</w:t>
      </w:r>
    </w:p>
    <w:p>
      <w:pPr>
        <w:spacing w:after="0" w:line="179"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cryptoassets are primarily traded in active trading platforms and are purchased with the intent to resell in the near future, generating a profit from the fluctuations in prices or margins. As a result, the Company has determined that its holding of cryptoassets should be accounted for under IAS 2, Inventories, as it meets the definition of a broker-trader.</w:t>
      </w:r>
    </w:p>
    <w:p>
      <w:pPr>
        <w:spacing w:after="0" w:line="175"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since cryptoassets are not considered financial assets under IFRS, such contracts are in the scope of IFRS 15. The Company believes that IFRS 15 is the appropriate standard to apply with respect to its cryptoasset holdings on behalf of its users, including whether the assets should be presented on or off-balance sheet.</w:t>
      </w:r>
    </w:p>
    <w:p>
      <w:pPr>
        <w:spacing w:after="0" w:line="175" w:lineRule="exact"/>
        <w:rPr>
          <w:rFonts w:ascii="Times New Roman" w:cs="Times New Roman" w:eastAsia="Times New Roman" w:hAnsi="Times New Roman"/>
          <w:sz w:val="18"/>
          <w:szCs w:val="18"/>
          <w:color w:val="auto"/>
        </w:rPr>
      </w:pPr>
    </w:p>
    <w:p>
      <w:pPr>
        <w:jc w:val="both"/>
        <w:ind w:left="19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the relevant indicators mentioned in the accounting literature in order to determine whether the cryptoassets shall be presented on or off-balance sheet. The Company analysed each of these indicators in the context of its cryptocurrency custody practices, the Company’s user agreements and certain legal analysis received from the Company’s advisors. After considering those indicators, including the fact that (a) the users have title to those cryptoassets; (b) the cryptoassets are segregated from the Company’s cryptoassets and held in omnibus accounts; and (c) the Company’s creditors cannot use the cryptoassets held on behalf of the users in a case of Company’s insolvency or other debt restructuring.</w:t>
      </w:r>
    </w:p>
    <w:p>
      <w:pPr>
        <w:spacing w:after="0" w:line="187" w:lineRule="exact"/>
        <w:rPr>
          <w:rFonts w:ascii="Times New Roman" w:cs="Times New Roman" w:eastAsia="Times New Roman" w:hAnsi="Times New Roman"/>
          <w:sz w:val="18"/>
          <w:szCs w:val="18"/>
          <w:color w:val="auto"/>
        </w:rPr>
      </w:pPr>
    </w:p>
    <w:p>
      <w:pPr>
        <w:jc w:val="both"/>
        <w:ind w:left="19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also considered IFRS 15 and analyzed whether control has been transferred to users upon the transfer of the cryptoassets to omnibus accounts (the payment is received from the user, the user has legal title, the user has significant risks and rewards from owning the cryptoasset). Accordingly, the Company concluded that the cryptoassets held on behalf of the users shall be off-balance sheet. (see note 18 below).</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share-based payment transactions:</w:t>
      </w:r>
    </w:p>
    <w:p>
      <w:pPr>
        <w:spacing w:after="0" w:line="225"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share-based payment transactions is determined upon grant date by an acceptable option pricing model. The inputs to the model include the estimated fair value of the underlying common share price, and assumptions regarding risk-free interest rate, expected volatility, expected term of the share option and expected dividend yield.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3 - SIGNIFICANT ACCOUNTING JUDGMENTS, ESTIMATES AND ASSUMPTIONS USED IN THE PREPARATION OF THE FINANCIAL STATEMENTS (Cont.)</w:t>
      </w:r>
    </w:p>
    <w:p>
      <w:pPr>
        <w:spacing w:after="0" w:line="159" w:lineRule="exact"/>
        <w:rPr>
          <w:sz w:val="20"/>
          <w:szCs w:val="20"/>
          <w:color w:val="auto"/>
        </w:rPr>
      </w:pPr>
    </w:p>
    <w:p>
      <w:pPr>
        <w:ind w:left="1960" w:hanging="656"/>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w:t>
      </w:r>
    </w:p>
    <w:p>
      <w:pPr>
        <w:spacing w:after="0" w:line="225" w:lineRule="exact"/>
        <w:rPr>
          <w:rFonts w:ascii="Times New Roman" w:cs="Times New Roman" w:eastAsia="Times New Roman" w:hAnsi="Times New Roman"/>
          <w:sz w:val="18"/>
          <w:szCs w:val="18"/>
          <w:color w:val="auto"/>
        </w:rPr>
      </w:pPr>
    </w:p>
    <w:p>
      <w:pPr>
        <w:jc w:val="both"/>
        <w:ind w:left="19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amounts of current and deferred taxes requires the Group’s management to take into consideration uncertainties that its tax position will be accepted and of incurring any additional tax expenses. This assessment is based on estimates and assumptions based on interpretation of tax laws and regulations, and the Group’s past experience. It is possible that new information will become known in future periods that will cause the final tax outcome to be different from the amounts that were initially recorded, such differences will impact the current and deferred income tax assets and liabilities in the period in which such determination is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RISK MANAGEMENT</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Group’s business activities require a comprehensive and robust risk management framework to ensure risks are identified, measured, decided upon and monitored. The Group’s risk encompasses several types of risks:</w:t>
      </w:r>
    </w:p>
    <w:p>
      <w:pPr>
        <w:spacing w:after="0" w:line="158"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risk is defined as the risk to earnings or capital arising from an obligor’s failure to meet the terms of any contract or to otherwise fail to perform as agreed. For instance, exposure to counterparty with the potential to produce a significant amount of capital loss due to a bankruptcy or failure to pay.</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exposed to the following institutional counterparties: clearing providers, liquidity providers and payment service providers, as well as banks with respect to the Group’s own assets. The Group manages the credit risk arising from institutional counterparties by setting exposure limits and monitoring exposure against such limits, reviewing periodic credit reviews, and spreading credit risk across a number of different institutions to diversify risk.</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sets principles in order to monitor and manage the credit risk on a real time basis. Management estimates that the credit exposure as of December 31, 2025 and 2024 is substantially equal to the carrying value of the related assets, as the credit valuation adjustment is de minimis and no impairment has been identified.</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 risk is the risk that that fair value or future cash flows of a financial instrument will fluctuate because of changes in market prices. The group is exposed to market price risk and foreign currency risk as described below:</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price risk:</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market price risk as a result of its trading activities in derivatives in underlying assets in currencies, commodities, equities and cryptoassets, part of which is naturally hedged as part of the overall market risk management. The exposure is monitored on a Group-wide basis and managed using limits on future potential losses from such exposure.</w:t>
      </w:r>
    </w:p>
    <w:p>
      <w:pPr>
        <w:spacing w:after="0" w:line="175"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Company hedges its main exposures to users’ positions with third-party counterparties, the Company does not have significant exposure to the underlying assets detailed above.</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Transactional foreign currency exposures represent risks associated with financial assets or liabilities denominated in currencies other than the functional currency of the transacting entity. Transaction exposures arise in the normal course of business.</w:t>
      </w:r>
    </w:p>
    <w:p>
      <w:pPr>
        <w:spacing w:after="0" w:line="162" w:lineRule="exact"/>
        <w:rPr>
          <w:sz w:val="20"/>
          <w:szCs w:val="20"/>
          <w:color w:val="auto"/>
        </w:rPr>
      </w:pPr>
    </w:p>
    <w:p>
      <w:pPr>
        <w:jc w:val="both"/>
        <w:ind w:left="20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excess financial liabilities over financial assets that are denominated in currencies other than the US dollar of $50,379. As of December 31, 2024, the Company has excess financial liabilities over financial assets that are denominated in currencies other than the US dollar of $39,949.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RISK MANAGEMENT (Cont.)</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Foreign currency risk is managed on a Group-wide basis.</w:t>
      </w:r>
    </w:p>
    <w:p>
      <w:pPr>
        <w:spacing w:after="0" w:line="225"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The Group monitors transactional foreign currency risks, including currency position and future expected exposures. The Group uses non-designated hedges to mitigate the risks.</w:t>
      </w:r>
    </w:p>
    <w:p>
      <w:pPr>
        <w:spacing w:after="0" w:line="158"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obligations arising from its financial liabilities that are settled by delivering cash or other financial assets. Liquidity risk is managed on a Group-wide and regulated entities basis. The Group’s approach to managing liquidity is to ensure it will have sufficient liquidity to meet its financial liabilities when due, including obtaining additional capital from investors and credit lines from banks and financial institutions.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contractual maturity of the financial liabilities is generally up to a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presents the fair value measurement hierarchy for the Group’s assets and liabilities carried at fair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Fair value hierarchy</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8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ind w:left="200"/>
              <w:spacing w:after="0" w:line="256"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9"/>
                <w:szCs w:val="29"/>
                <w:color w:val="auto"/>
                <w:vertAlign w:val="superscript"/>
              </w:rPr>
              <w:t>(1)</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249,055</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249,055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62,606</w:t>
            </w: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Receivable from omnibus accounts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fair value: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107,830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107,830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short-term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6,184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contingent consideration relates to the business combination of Spaceship and consists of up to 266,668 common shares to be issued upon the achievement of certain performance milestones related to assets under management (AUM) within two years from the acquisition date (see Note 22).</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contingent consideration is classified as a Level 3 measurement within the fair value hierarchy. The fair value was initially measured based on an external valuation. On a quarterly basis the company remeasured the fair value considering the quoted market share price and the assessment of the probability of achieving the relevant performance milestones.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 (Cont.)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Fair value hierarchy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8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gridSpan w:val="2"/>
          </w:tcPr>
          <w:p>
            <w:pPr>
              <w:ind w:left="200"/>
              <w:spacing w:after="0" w:line="256"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9"/>
                <w:szCs w:val="29"/>
                <w:color w:val="auto"/>
                <w:vertAlign w:val="superscript"/>
              </w:rPr>
              <w:t>(1)</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224,867</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224,867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2"/>
              </w:rPr>
              <w:t>113,279</w:t>
            </w: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Receivable from omnibus accounts</w:t>
            </w:r>
          </w:p>
        </w:tc>
        <w:tc>
          <w:tcPr>
            <w:tcW w:w="11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fair value: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103,493</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103,493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5,653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contingent consideration relates to the business combination of Spaceship and consists of up to 266,668 common shares to be issued upon the achievement of certain performance milestones related to assets under management (AUM) within two years from the acquisition date. The business combination includes an additional holdback agreement for an additional 80,000 common shares. (see Note 22).</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fair value of the contingent consideration and the hold back agreement is classified as a Level 3 measurement within the fair value hierarchy. The fair value of the contingent consideration was initially measured based on an external valuation. On a quarterly basis the company remeasured the fair value considering the quoted market share price and the assessment of the probability of achieving the relevant performance milestones. The fair value of the hold back agreement was based on company valuation prepared by external consultant.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There were no transfers from Level 1 to Level 2 during the reporting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 ADEQUACY</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method of calculation is set up by the relevant regulatory authority. The regulated entities aim to always maintain a capital, liquidity and other required adequacy above the required minimum, and they report these adequacy requirements to their regulatory authority on a regular basis.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entities’ objective when managing adequacy requirements is to maintain an optimal capital structure that reduces the cost of capital, safeguards the entities’ ability to continue as a going concern, meets regulatory requirements, and enable appropriate returns to shareholders.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primary adequacy requirements of the Company’s principal regulated legal entities are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eToro (Europe) Ltd</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Under the Investment Firms Regulation (“IFR”), eToro (Europe) Ltd is required to satisfy its regulatory capital and liquidity requirements as determined by its internal Capital and Risk assessment (ICARA) process.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entity must maintain a minimum regulatory capital requirement of $160 million and $152 million, respectively. As of December 31, 2025 and 2024, the regulatory capital of the eToro (Europe) Ltd was $348 million and $300 million, respectively, which is in excess of the regulatory capital requirements mentioned above.</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entity must maintain a minimum liquidity requirement of $5.2 million and $5.3 million, respectively. As of December 31, 2025 and 2024, the regulatory liquid assets of the eToro (Europe) Ltd were $283 million and $182 million, respectively, which is in excess of the regulatory liquidity requirements mentioned above.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eToro (UK)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 ADEQUACY (Cont.)</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Under the Investment Firm Prudential Regime (“IFPR”), eToro (UK) Ltd is required to satisfy its own funds and liquidity requirements as determined by its internal Capital and Risk assessment (ICARA) process.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entity must maintain a minimum requirement of $40.4 million and $24 million, respectively. As of December 31, 2025 and 2024, the regulatory capital of eToro (UK) Ltd was $59.1 million and $38.1 million, respectively, which is in excess of the regulatory capital requirements mentioned above.</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entity must maintain a minimum liquidity requirement of $66 million and $17.7 million, respectively. As of December 31, 2025 and 2024, the regulatory liquid assets of the eToro (UK) Ltd were $87 million and $53.2 million, respectively, which is in excess of the regulatory liquidity requirements mentioned above.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eToro Aus Capital Ltd</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Under the Regulatory Guide 166, eToro Aus Capital Ltd must maintain a minimum required Net Tangible Assets (“NTA”). As of December 31, 2025 and 2024, this minimum requirement was $4.4 million and $4.8 million, respectively. As of December 31, 2025 and 2024, the NTA of eToro Aus Capital Ltd was $16.7 million and $19.5 million, respectively, which is in excess of the minimum requirement mentioned above.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eToro (ME) Ltd</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Under the Prudential – Investment, Insurance Intermediation and Banking Rules (“PRU”), eToro (ME) Ltd is required at all times to satisfy its regulatory capital as determined by its internal Capital Adequacy Assessment Process (ICAAP). As of December 31, 2025 and 2024, the entity must maintain a minimum requirement of $7 million and $ million, respectively. As of December 31, 2025 and 2024, the regulatory capital of eToro (ME) Ltd was $14.4 and $7.8, respectively.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eToro USA LLC</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legal and regulatory framework under which eToro USA LLC operates stipulates that the entity must maintain a minimum required net worth that is determined at the state level. The highest minimum net worth of all the states is $1 million. The total equity as of December 31, 2025 and 2024, was $25.9 million and $24.7 million, respectively, which is in excess of the minimum net worth requirement mentioned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CASH AND CASH EQUIVALENTS</w:t>
      </w:r>
    </w:p>
    <w:p>
      <w:pPr>
        <w:spacing w:after="0" w:line="23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 segregated users’ funds (see Note 13)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COUNTERPARTIES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4,596,270</w:t>
      </w:r>
      <w:r>
        <w:rPr>
          <w:sz w:val="20"/>
          <w:szCs w:val="20"/>
          <w:color w:val="auto"/>
        </w:rPr>
        <w:tab/>
      </w:r>
      <w:r>
        <w:rPr>
          <w:rFonts w:ascii="Times New Roman" w:cs="Times New Roman" w:eastAsia="Times New Roman" w:hAnsi="Times New Roman"/>
          <w:sz w:val="18"/>
          <w:szCs w:val="18"/>
          <w:color w:val="auto"/>
        </w:rPr>
        <w:t>3,565,398</w:t>
      </w:r>
    </w:p>
    <w:p>
      <w:pPr>
        <w:spacing w:after="0" w:line="2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(3,523,629)</w:t>
      </w:r>
      <w:r>
        <w:rPr>
          <w:sz w:val="20"/>
          <w:szCs w:val="20"/>
          <w:color w:val="auto"/>
        </w:rPr>
        <w:tab/>
      </w:r>
      <w:r>
        <w:rPr>
          <w:rFonts w:ascii="Times New Roman" w:cs="Times New Roman" w:eastAsia="Times New Roman" w:hAnsi="Times New Roman"/>
          <w:sz w:val="18"/>
          <w:szCs w:val="18"/>
          <w:color w:val="auto"/>
        </w:rPr>
        <w:t>(2,990,003)</w:t>
      </w:r>
    </w:p>
    <w:p>
      <w:pPr>
        <w:spacing w:after="0" w:line="58"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color w:val="auto"/>
        </w:rPr>
        <w:t>1,072,641</w:t>
      </w:r>
      <w:r>
        <w:rPr>
          <w:sz w:val="20"/>
          <w:szCs w:val="20"/>
          <w:color w:val="auto"/>
        </w:rPr>
        <w:tab/>
      </w:r>
      <w:r>
        <w:rPr>
          <w:rFonts w:ascii="Times New Roman" w:cs="Times New Roman" w:eastAsia="Times New Roman" w:hAnsi="Times New Roman"/>
          <w:sz w:val="18"/>
          <w:szCs w:val="18"/>
          <w:color w:val="auto"/>
        </w:rPr>
        <w:t>575,395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43180</wp:posOffset>
            </wp:positionV>
            <wp:extent cx="156019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19685</wp:posOffset>
            </wp:positionV>
            <wp:extent cx="156019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19685</wp:posOffset>
            </wp:positionV>
            <wp:extent cx="156019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20"/>
          </w:cols>
          <w:pgMar w:left="320" w:top="873" w:right="3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derivatives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USD stable coins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on account with counterparties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224,867</w:t>
            </w:r>
          </w:p>
        </w:tc>
        <w:tc>
          <w:tcPr>
            <w:tcW w:w="10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 of December 31, 2025, and 2024: financial derivatives (including cash held as collateral) in respect of: equities $107,448 and $79,248, commodities, indices and exchange rates $75,576 and $48,137, liquid asset buffer in respect of financial derivatives of $25,943 and $57,054, and others $34,219 and $32,473,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RECEIVABLES AND PREPAID EXPENSES</w:t>
            </w:r>
          </w:p>
        </w:tc>
        <w:tc>
          <w:tcPr>
            <w:tcW w:w="3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of cryptoassets</w:t>
            </w:r>
          </w:p>
        </w:tc>
        <w:tc>
          <w:tcPr>
            <w:tcW w:w="4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4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4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4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14,676</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4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8,351</w:t>
            </w:r>
          </w:p>
        </w:tc>
      </w:tr>
      <w:tr>
        <w:trPr>
          <w:trHeight w:val="27"/>
        </w:trPr>
        <w:tc>
          <w:tcPr>
            <w:tcW w:w="52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22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PROPERTY AND EQUIPMENT, NET</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furniture and</w:t>
            </w: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1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6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19,580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5,359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27,268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1,901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21,389</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8,025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32,011</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(17,469)</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(1,483)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26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8"/>
        </w:trPr>
        <w:tc>
          <w:tcPr>
            <w:tcW w:w="4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300" w:type="dxa"/>
            <w:vAlign w:val="bottom"/>
            <w:tcBorders>
              <w:top w:val="single" w:sz="8" w:color="CCEEFF"/>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Depreciated balance as of December 31, 2025</w:t>
            </w:r>
          </w:p>
        </w:tc>
        <w:tc>
          <w:tcPr>
            <w:tcW w:w="1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3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furniture and</w:t>
            </w: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1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6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18,198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5,167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25,543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2,063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(681)</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19,580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27,268</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(15,959)</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(2,191)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26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8"/>
        </w:trPr>
        <w:tc>
          <w:tcPr>
            <w:tcW w:w="4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00" w:type="dxa"/>
            <w:vAlign w:val="bottom"/>
            <w:tcBorders>
              <w:top w:val="single" w:sz="8" w:color="CCEEFF"/>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Depreciated balance as of December 31, 2024</w:t>
            </w:r>
          </w:p>
        </w:tc>
        <w:tc>
          <w:tcPr>
            <w:tcW w:w="1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1481"/>
              <w:spacing w:after="0"/>
              <w:rPr>
                <w:sz w:val="20"/>
                <w:szCs w:val="20"/>
                <w:color w:val="auto"/>
              </w:rPr>
            </w:pPr>
            <w:r>
              <w:rPr>
                <w:rFonts w:ascii="Times New Roman" w:cs="Times New Roman" w:eastAsia="Times New Roman" w:hAnsi="Times New Roman"/>
                <w:sz w:val="18"/>
                <w:szCs w:val="18"/>
                <w:color w:val="auto"/>
              </w:rPr>
              <w:t>F-34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1" w:name="page182"/>
    <w:bookmarkEnd w:id="181"/>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IP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1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relationship</w:t>
            </w:r>
          </w:p>
        </w:tc>
        <w:tc>
          <w:tcPr>
            <w:tcW w:w="11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1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NFT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Trademark</w:t>
            </w: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2,603</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28,631</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4,794</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19,342</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5,574</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61,507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0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22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5,027</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19,342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5,574</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62,142</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 and impairment: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(1,071)</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(7,517)</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(1,171)</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(664)</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(4,719)</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(230)</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(190)</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Disposal</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7"/>
        </w:trPr>
        <w:tc>
          <w:tcPr>
            <w:tcW w:w="35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Amortized balance as of</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1,302</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18,571</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3,564</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18,678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500" w:type="dxa"/>
            <w:vAlign w:val="bottom"/>
          </w:tcPr>
          <w:p>
            <w:pPr>
              <w:spacing w:after="0"/>
              <w:rPr>
                <w:sz w:val="24"/>
                <w:szCs w:val="24"/>
                <w:color w:val="auto"/>
              </w:rPr>
            </w:pPr>
          </w:p>
        </w:tc>
        <w:tc>
          <w:tcPr>
            <w:tcW w:w="11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1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IP and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1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relationship</w:t>
            </w:r>
          </w:p>
        </w:tc>
        <w:tc>
          <w:tcPr>
            <w:tcW w:w="11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1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NFT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6"/>
              </w:rPr>
              <w:t>Trademark</w:t>
            </w: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1,033</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23,381</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4,794</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8,103</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5,637</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42,948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1,570</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5,250</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11,239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18,622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0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22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4,794</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19,342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5,574</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61,507</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 and impairment: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(1,033)</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(4,753)</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(664)</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(4,768)</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(2,764)</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(264)</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Amortized balance as of</w:t>
            </w: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3,623</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18,678</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855</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544</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F-35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29" w:lineRule="exact"/>
        <w:rPr>
          <w:sz w:val="20"/>
          <w:szCs w:val="20"/>
          <w:color w:val="auto"/>
        </w:rPr>
      </w:pPr>
    </w:p>
    <w:p>
      <w:pPr>
        <w:ind w:left="1960" w:right="20" w:hanging="656"/>
        <w:spacing w:after="0" w:line="282" w:lineRule="auto"/>
        <w:tabs>
          <w:tab w:leader="none" w:pos="19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entered into several office space lease agreements. The range lease terms for office space are between 1 year and 15 years. The Group’s lease liability is guaranteed by the assets’ legal ownership of the lessor.</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Disposal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Disposal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Depreciated 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Disposal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Disposal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Depreciated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80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Office spaces</w:t>
      </w:r>
    </w:p>
    <w:p>
      <w:pPr>
        <w:spacing w:after="0" w:line="200" w:lineRule="exact"/>
        <w:rPr>
          <w:sz w:val="20"/>
          <w:szCs w:val="20"/>
          <w:color w:val="auto"/>
        </w:rPr>
      </w:pPr>
    </w:p>
    <w:p>
      <w:pPr>
        <w:spacing w:after="0" w:line="27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63,503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4,183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(981)</w:t>
      </w:r>
    </w:p>
    <w:p>
      <w:pPr>
        <w:spacing w:after="0" w:line="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66,705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7029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(19,097)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(6,716)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981</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26035</wp:posOffset>
            </wp:positionV>
            <wp:extent cx="7029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Office spaces</w:t>
      </w: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46,649</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17,191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(337)</w:t>
      </w:r>
    </w:p>
    <w:p>
      <w:pPr>
        <w:spacing w:after="0" w:line="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63,503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7029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(13,991)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(5,291)</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185</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26035</wp:posOffset>
            </wp:positionV>
            <wp:extent cx="7029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44,406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43180</wp:posOffset>
            </wp:positionV>
            <wp:extent cx="70294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18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83" w:name="page184"/>
    <w:bookmarkEnd w:id="183"/>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w:t>
      </w:r>
    </w:p>
    <w:p>
      <w:pPr>
        <w:spacing w:after="0" w:line="225"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PROFIT OR LOSS AND IN THE STATEMENTS OF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and loss: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on right-of-use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198"/>
        </w:trPr>
        <w:tc>
          <w:tcPr>
            <w:tcW w:w="7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 relating to variable lease payments not included in the measurement of the lease liability</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fee)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7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9,844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7,707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1"/>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total cash outflow for leases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20" w:type="dxa"/>
            <w:vAlign w:val="bottom"/>
            <w:tcBorders>
              <w:bottom w:val="single" w:sz="8" w:color="CCEEFF"/>
            </w:tcBorders>
            <w:vMerge w:val="continue"/>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range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300" w:hanging="644"/>
        <w:spacing w:after="0" w:line="286" w:lineRule="auto"/>
        <w:tabs>
          <w:tab w:leader="none" w:pos="13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MATURITY ANALYSIS OF LEASE LIABILITIES (AMOUNTS PRESENTED BELOW ARE CONTRACTUAL, UNDISCOUNTED LEASE PAYMENTS):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56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5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37,895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40,068</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cash flows</w:t>
            </w:r>
          </w:p>
        </w:tc>
        <w:tc>
          <w:tcPr>
            <w:tcW w:w="4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imputed interest</w:t>
            </w:r>
          </w:p>
        </w:tc>
        <w:tc>
          <w:tcPr>
            <w:tcW w:w="5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(19,670)</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44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54,463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current portion of lease liabilities</w:t>
            </w:r>
          </w:p>
        </w:tc>
        <w:tc>
          <w:tcPr>
            <w:tcW w:w="4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4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eToro Group Ltd.</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RECEIVABLE FROM OMNIBUS ACCOUNTS (PAYABLE TO USERS), NET</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5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Users’ equity</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(16,055,650)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(14,262,633)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 segregated user funds</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15,974,640</w:t>
            </w:r>
          </w:p>
        </w:tc>
        <w:tc>
          <w:tcPr>
            <w:tcW w:w="13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14,209,606</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users,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Segregated user funds comprise: 1) user cash held in segregated bank accounts (“user money”) of $3,523,629 and $2,990,003; 2) user cryptoassets segregated in cryptoasset wallets of $4,304,381 and $5,774,727; and 3) user equities held in segregated accounts of $8,146,264 and $5,444,876, as of December 31, 2025 and 2024, respectively and 4) User margin balances related to futures positions of $366, as of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ACCRUED EXPENSES AND OTHER PAYABLES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and payroll accruals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90,985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Marketing accrued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42,439</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215,414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SHORT-TERM LOANS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31, 2022, the Company entered into an agreement, as amended on December 22, 2022, with Liquidity, a related party of the Company, and certain other lenders for a revolving credit facility which shall at no time exceed the outstanding principal amount of $60 million. The Company may draw loans in a series of separate tranches from the credit line. The maturity date with respect to each tranche shall be at least 90 days of such tranche disbursement but in any event no later than November 21, 2024. As of December 31, 2025, the facility has been terminated and the Company has no outstanding obligations in its regards.</w:t>
      </w:r>
    </w:p>
    <w:p>
      <w:pPr>
        <w:spacing w:after="0" w:line="183"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19, 2023, the Company entered into a $25 million unsecured revolving credit facility with Bank Hapoalim B.M. for a period of 12 months. Any amount drawn out of the facility will bear an annual interest rate of SOFR+3%. The credit facility agreement was valid until July 18, 2024.</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16, 2024, the Company entered into a 1 year extension to the unsecured revolving credit facility agreement with Bank Hapoalim B.M and increased it to $45 million. Any amount drawn out of the facility will bear an annual interest rate of SOFR+3%. The credit facility agreement was valid until October 15, 2025. This Facility was terminated in full on June 30, 2025. The Company has no outstanding obligations in this regard.</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68" w:lineRule="auto"/>
        <w:tabs>
          <w:tab w:leader="none" w:pos="13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2025, the Company entered a $250,000 unsecured revolving credit facility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with a consortium of lenders, including Citibank, Bank Hapoalim, Bank Leumi, Deutsche Bank, Goldman Sachs, Mizuho Bank, Sumitomo Mitsui Banking Corporation, and UBS.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SHORT-TERM LOANS (Cont.)</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Any amount drawn out of the facility will bear an annual interest rate of SOFR plus a margin ranging from 3.00% to 3.50% depending on the Company’s Leverage Ratio. The facility is intended for general corporate purposes of the Group, including the funding of acquisitions.</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credit facility agreement is valid until 3 years from signing. This Credit Facility includes customary restrictive covenants, including limitations on additional indebtedness, creation of liens and changes of control. In addition, failure to comply with certain of these covenants may result in an event of default, which may lead to acceleration of the amounts owed and/or the enforcement of other remedies by the banks. As December 31, 2025, no amounts were drawn on the facility. Upon entering this facility the Hapoalim Credit Facility was terminated.</w:t>
      </w:r>
    </w:p>
    <w:p>
      <w:pPr>
        <w:sectPr>
          <w:pgSz w:w="11900" w:h="16838" w:orient="portrait"/>
          <w:cols w:equalWidth="0" w:num="1">
            <w:col w:w="11240"/>
          </w:cols>
          <w:pgMar w:left="320" w:top="873"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225"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COMPOSITION OF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with no par value: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Preferred A shares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Preferred B shares</w:t>
      </w:r>
      <w:r>
        <w:rPr>
          <w:rFonts w:ascii="Times New Roman" w:cs="Times New Roman" w:eastAsia="Times New Roman" w:hAnsi="Times New Roman"/>
          <w:sz w:val="29"/>
          <w:szCs w:val="29"/>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Preferred C shares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Preferred C-2 shares</w:t>
      </w:r>
      <w:r>
        <w:rPr>
          <w:rFonts w:ascii="Times New Roman" w:cs="Times New Roman" w:eastAsia="Times New Roman" w:hAnsi="Times New Roman"/>
          <w:sz w:val="29"/>
          <w:szCs w:val="29"/>
          <w:color w:val="auto"/>
          <w:vertAlign w:val="superscript"/>
        </w:rPr>
        <w:t>(2)</w:t>
      </w:r>
    </w:p>
    <w:p>
      <w:pPr>
        <w:spacing w:after="0" w:line="184" w:lineRule="auto"/>
        <w:rPr>
          <w:sz w:val="20"/>
          <w:szCs w:val="20"/>
          <w:color w:val="auto"/>
        </w:rPr>
      </w:pPr>
      <w:r>
        <w:rPr>
          <w:rFonts w:ascii="Times New Roman" w:cs="Times New Roman" w:eastAsia="Times New Roman" w:hAnsi="Times New Roman"/>
          <w:sz w:val="18"/>
          <w:szCs w:val="18"/>
          <w:color w:val="auto"/>
        </w:rPr>
        <w:t>Preferred D shares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Preferred E shares</w:t>
      </w:r>
      <w:r>
        <w:rPr>
          <w:rFonts w:ascii="Times New Roman" w:cs="Times New Roman" w:eastAsia="Times New Roman" w:hAnsi="Times New Roman"/>
          <w:sz w:val="29"/>
          <w:szCs w:val="29"/>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Preferred F shares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with no par value: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Common A shares</w:t>
      </w:r>
      <w:r>
        <w:rPr>
          <w:rFonts w:ascii="Times New Roman" w:cs="Times New Roman" w:eastAsia="Times New Roman" w:hAnsi="Times New Roman"/>
          <w:sz w:val="29"/>
          <w:szCs w:val="29"/>
          <w:color w:val="auto"/>
          <w:vertAlign w:val="superscript"/>
        </w:rPr>
        <w:t>(3) (5)</w:t>
      </w:r>
    </w:p>
    <w:p>
      <w:pPr>
        <w:spacing w:after="0" w:line="185" w:lineRule="auto"/>
        <w:rPr>
          <w:sz w:val="20"/>
          <w:szCs w:val="20"/>
          <w:color w:val="auto"/>
        </w:rPr>
      </w:pPr>
      <w:r>
        <w:rPr>
          <w:rFonts w:ascii="Times New Roman" w:cs="Times New Roman" w:eastAsia="Times New Roman" w:hAnsi="Times New Roman"/>
          <w:sz w:val="18"/>
          <w:szCs w:val="18"/>
          <w:color w:val="auto"/>
        </w:rPr>
        <w:t>Common B shares</w:t>
      </w:r>
      <w:r>
        <w:rPr>
          <w:rFonts w:ascii="Times New Roman" w:cs="Times New Roman" w:eastAsia="Times New Roman" w:hAnsi="Times New Roman"/>
          <w:sz w:val="29"/>
          <w:szCs w:val="29"/>
          <w:color w:val="auto"/>
          <w:vertAlign w:val="superscript"/>
        </w:rPr>
        <w:t>(3)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Preferred shares</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wp:posOffset>
            </wp:positionV>
            <wp:extent cx="156019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Issued and</w:t>
      </w:r>
    </w:p>
    <w:p>
      <w:pPr>
        <w:spacing w:after="0" w:line="3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Authorized</w:t>
      </w:r>
      <w:r>
        <w:rPr>
          <w:sz w:val="20"/>
          <w:szCs w:val="20"/>
          <w:color w:val="auto"/>
        </w:rPr>
        <w:tab/>
      </w:r>
      <w:r>
        <w:rPr>
          <w:rFonts w:ascii="Times New Roman" w:cs="Times New Roman" w:eastAsia="Times New Roman" w:hAnsi="Times New Roman"/>
          <w:sz w:val="18"/>
          <w:szCs w:val="18"/>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5715</wp:posOffset>
            </wp:positionV>
            <wp:extent cx="156019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wp:posOffset>
            </wp:positionV>
            <wp:extent cx="156019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4" w:lineRule="exact"/>
        <w:rPr>
          <w:sz w:val="20"/>
          <w:szCs w:val="20"/>
          <w:color w:val="auto"/>
        </w:rPr>
      </w:pPr>
    </w:p>
    <w:p>
      <w:pPr>
        <w:ind w:left="140"/>
        <w:spacing w:after="0"/>
        <w:tabs>
          <w:tab w:leader="none" w:pos="1520" w:val="left"/>
        </w:tabs>
        <w:rPr>
          <w:sz w:val="20"/>
          <w:szCs w:val="20"/>
          <w:color w:val="auto"/>
        </w:rPr>
      </w:pPr>
      <w:r>
        <w:rPr>
          <w:rFonts w:ascii="Times New Roman" w:cs="Times New Roman" w:eastAsia="Times New Roman" w:hAnsi="Times New Roman"/>
          <w:sz w:val="18"/>
          <w:szCs w:val="18"/>
          <w:color w:val="auto"/>
        </w:rPr>
        <w:t>118,974,950</w:t>
      </w:r>
      <w:r>
        <w:rPr>
          <w:sz w:val="20"/>
          <w:szCs w:val="20"/>
          <w:color w:val="auto"/>
        </w:rPr>
        <w:tab/>
      </w:r>
      <w:r>
        <w:rPr>
          <w:rFonts w:ascii="Times New Roman" w:cs="Times New Roman" w:eastAsia="Times New Roman" w:hAnsi="Times New Roman"/>
          <w:sz w:val="18"/>
          <w:szCs w:val="18"/>
          <w:color w:val="auto"/>
        </w:rPr>
        <w:t>23,158,669</w:t>
      </w:r>
    </w:p>
    <w:p>
      <w:pPr>
        <w:spacing w:after="0" w:line="50"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8"/>
          <w:szCs w:val="18"/>
          <w:color w:val="auto"/>
        </w:rPr>
        <w:t>6,628,780</w:t>
      </w:r>
      <w:r>
        <w:rPr>
          <w:sz w:val="20"/>
          <w:szCs w:val="20"/>
          <w:color w:val="auto"/>
        </w:rPr>
        <w:tab/>
      </w:r>
      <w:r>
        <w:rPr>
          <w:rFonts w:ascii="Times New Roman" w:cs="Times New Roman" w:eastAsia="Times New Roman" w:hAnsi="Times New Roman"/>
          <w:sz w:val="18"/>
          <w:szCs w:val="18"/>
          <w:color w:val="auto"/>
        </w:rPr>
        <w:t>5,179,092</w:t>
      </w:r>
    </w:p>
    <w:p>
      <w:pPr>
        <w:spacing w:after="0" w:line="50" w:lineRule="exact"/>
        <w:rPr>
          <w:sz w:val="20"/>
          <w:szCs w:val="20"/>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8"/>
          <w:szCs w:val="18"/>
          <w:color w:val="auto"/>
        </w:rPr>
        <w:t>11,183,870</w:t>
      </w:r>
      <w:r>
        <w:rPr>
          <w:sz w:val="20"/>
          <w:szCs w:val="20"/>
          <w:color w:val="auto"/>
        </w:rPr>
        <w:tab/>
      </w:r>
      <w:r>
        <w:rPr>
          <w:rFonts w:ascii="Times New Roman" w:cs="Times New Roman" w:eastAsia="Times New Roman" w:hAnsi="Times New Roman"/>
          <w:sz w:val="18"/>
          <w:szCs w:val="18"/>
          <w:color w:val="auto"/>
        </w:rPr>
        <w:t>9,596,431</w:t>
      </w:r>
    </w:p>
    <w:p>
      <w:pPr>
        <w:spacing w:after="0" w:line="50"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8"/>
          <w:szCs w:val="18"/>
          <w:color w:val="auto"/>
        </w:rPr>
        <w:t>6,993,630</w:t>
      </w:r>
      <w:r>
        <w:rPr>
          <w:sz w:val="20"/>
          <w:szCs w:val="20"/>
          <w:color w:val="auto"/>
        </w:rPr>
        <w:tab/>
      </w:r>
      <w:r>
        <w:rPr>
          <w:rFonts w:ascii="Times New Roman" w:cs="Times New Roman" w:eastAsia="Times New Roman" w:hAnsi="Times New Roman"/>
          <w:sz w:val="18"/>
          <w:szCs w:val="18"/>
          <w:color w:val="auto"/>
        </w:rPr>
        <w:t>6,757,394</w:t>
      </w:r>
    </w:p>
    <w:p>
      <w:pPr>
        <w:spacing w:after="0" w:line="50"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8"/>
          <w:szCs w:val="18"/>
          <w:color w:val="auto"/>
        </w:rPr>
        <w:t>6,841,704</w:t>
      </w:r>
      <w:r>
        <w:rPr>
          <w:sz w:val="20"/>
          <w:szCs w:val="20"/>
          <w:color w:val="auto"/>
        </w:rPr>
        <w:tab/>
      </w:r>
      <w:r>
        <w:rPr>
          <w:rFonts w:ascii="Times New Roman" w:cs="Times New Roman" w:eastAsia="Times New Roman" w:hAnsi="Times New Roman"/>
          <w:sz w:val="18"/>
          <w:szCs w:val="18"/>
          <w:color w:val="auto"/>
        </w:rPr>
        <w:t>6,761,964</w:t>
      </w:r>
    </w:p>
    <w:p>
      <w:pPr>
        <w:spacing w:after="0" w:line="50"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8"/>
          <w:szCs w:val="18"/>
          <w:color w:val="auto"/>
        </w:rPr>
        <w:t>9,181,876</w:t>
      </w:r>
      <w:r>
        <w:rPr>
          <w:sz w:val="20"/>
          <w:szCs w:val="20"/>
          <w:color w:val="auto"/>
        </w:rPr>
        <w:tab/>
      </w:r>
      <w:r>
        <w:rPr>
          <w:rFonts w:ascii="Times New Roman" w:cs="Times New Roman" w:eastAsia="Times New Roman" w:hAnsi="Times New Roman"/>
          <w:sz w:val="18"/>
          <w:szCs w:val="18"/>
          <w:color w:val="auto"/>
        </w:rPr>
        <w:t>7,938,352</w:t>
      </w:r>
    </w:p>
    <w:p>
      <w:pPr>
        <w:spacing w:after="0" w:line="50" w:lineRule="exact"/>
        <w:rPr>
          <w:sz w:val="20"/>
          <w:szCs w:val="20"/>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8"/>
          <w:szCs w:val="18"/>
          <w:color w:val="auto"/>
        </w:rPr>
        <w:t>14,594,856</w:t>
      </w:r>
      <w:r>
        <w:rPr>
          <w:sz w:val="20"/>
          <w:szCs w:val="20"/>
          <w:color w:val="auto"/>
        </w:rPr>
        <w:tab/>
      </w:r>
      <w:r>
        <w:rPr>
          <w:rFonts w:ascii="Times New Roman" w:cs="Times New Roman" w:eastAsia="Times New Roman" w:hAnsi="Times New Roman"/>
          <w:sz w:val="18"/>
          <w:szCs w:val="18"/>
          <w:color w:val="auto"/>
        </w:rPr>
        <w:t>9,729,992</w:t>
      </w:r>
    </w:p>
    <w:p>
      <w:pPr>
        <w:spacing w:after="0" w:line="63" w:lineRule="exact"/>
        <w:rPr>
          <w:sz w:val="20"/>
          <w:szCs w:val="20"/>
          <w:color w:val="auto"/>
        </w:rPr>
      </w:pPr>
    </w:p>
    <w:p>
      <w:pPr>
        <w:ind w:left="300"/>
        <w:spacing w:after="0"/>
        <w:tabs>
          <w:tab w:leader="none" w:pos="1620" w:val="left"/>
        </w:tabs>
        <w:rPr>
          <w:sz w:val="20"/>
          <w:szCs w:val="20"/>
          <w:color w:val="auto"/>
        </w:rPr>
      </w:pPr>
      <w:r>
        <w:rPr>
          <w:rFonts w:ascii="Times New Roman" w:cs="Times New Roman" w:eastAsia="Times New Roman" w:hAnsi="Times New Roman"/>
          <w:sz w:val="18"/>
          <w:szCs w:val="18"/>
          <w:color w:val="auto"/>
        </w:rPr>
        <w:t>6,633,296</w:t>
      </w:r>
      <w:r>
        <w:rPr>
          <w:sz w:val="20"/>
          <w:szCs w:val="20"/>
          <w:color w:val="auto"/>
        </w:rPr>
        <w:tab/>
      </w:r>
      <w:r>
        <w:rPr>
          <w:rFonts w:ascii="Times New Roman" w:cs="Times New Roman" w:eastAsia="Times New Roman" w:hAnsi="Times New Roman"/>
          <w:sz w:val="18"/>
          <w:szCs w:val="18"/>
          <w:color w:val="auto"/>
        </w:rPr>
        <w:t>6,354,296</w:t>
      </w:r>
    </w:p>
    <w:p>
      <w:pPr>
        <w:spacing w:after="0" w:line="63" w:lineRule="exact"/>
        <w:rPr>
          <w:sz w:val="20"/>
          <w:szCs w:val="20"/>
          <w:color w:val="auto"/>
        </w:rPr>
      </w:pPr>
    </w:p>
    <w:p>
      <w:pPr>
        <w:ind w:left="120"/>
        <w:spacing w:after="0"/>
        <w:tabs>
          <w:tab w:leader="none" w:pos="1520" w:val="left"/>
        </w:tabs>
        <w:rPr>
          <w:sz w:val="20"/>
          <w:szCs w:val="20"/>
          <w:color w:val="auto"/>
        </w:rPr>
      </w:pPr>
      <w:r>
        <w:rPr>
          <w:rFonts w:ascii="Times New Roman" w:cs="Times New Roman" w:eastAsia="Times New Roman" w:hAnsi="Times New Roman"/>
          <w:sz w:val="18"/>
          <w:szCs w:val="18"/>
          <w:color w:val="auto"/>
        </w:rPr>
        <w:t>181,032,962</w:t>
      </w:r>
      <w:r>
        <w:rPr>
          <w:sz w:val="20"/>
          <w:szCs w:val="20"/>
          <w:color w:val="auto"/>
        </w:rPr>
        <w:tab/>
      </w:r>
      <w:r>
        <w:rPr>
          <w:rFonts w:ascii="Times New Roman" w:cs="Times New Roman" w:eastAsia="Times New Roman" w:hAnsi="Times New Roman"/>
          <w:sz w:val="18"/>
          <w:szCs w:val="18"/>
          <w:color w:val="auto"/>
        </w:rPr>
        <w:t>75,476,190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43180</wp:posOffset>
            </wp:positionV>
            <wp:extent cx="156019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163703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Issued and</w:t>
      </w:r>
    </w:p>
    <w:p>
      <w:pPr>
        <w:spacing w:after="0" w:line="3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Authorized</w:t>
      </w:r>
      <w:r>
        <w:rPr>
          <w:sz w:val="20"/>
          <w:szCs w:val="20"/>
          <w:color w:val="auto"/>
        </w:rPr>
        <w:tab/>
      </w:r>
      <w:r>
        <w:rPr>
          <w:rFonts w:ascii="Times New Roman" w:cs="Times New Roman" w:eastAsia="Times New Roman" w:hAnsi="Times New Roman"/>
          <w:sz w:val="18"/>
          <w:szCs w:val="18"/>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5715</wp:posOffset>
            </wp:positionV>
            <wp:extent cx="15684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156845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4" w:lineRule="exact"/>
        <w:rPr>
          <w:sz w:val="20"/>
          <w:szCs w:val="20"/>
          <w:color w:val="auto"/>
        </w:rPr>
      </w:pPr>
    </w:p>
    <w:p>
      <w:pPr>
        <w:ind w:left="120"/>
        <w:spacing w:after="0"/>
        <w:tabs>
          <w:tab w:leader="none" w:pos="1520" w:val="left"/>
        </w:tabs>
        <w:rPr>
          <w:sz w:val="20"/>
          <w:szCs w:val="20"/>
          <w:color w:val="auto"/>
        </w:rPr>
      </w:pPr>
      <w:r>
        <w:rPr>
          <w:rFonts w:ascii="Times New Roman" w:cs="Times New Roman" w:eastAsia="Times New Roman" w:hAnsi="Times New Roman"/>
          <w:sz w:val="18"/>
          <w:szCs w:val="18"/>
          <w:color w:val="auto"/>
        </w:rPr>
        <w:t>850,000,000</w:t>
      </w:r>
      <w:r>
        <w:rPr>
          <w:sz w:val="20"/>
          <w:szCs w:val="20"/>
          <w:color w:val="auto"/>
        </w:rPr>
        <w:tab/>
      </w:r>
      <w:r>
        <w:rPr>
          <w:rFonts w:ascii="Times New Roman" w:cs="Times New Roman" w:eastAsia="Times New Roman" w:hAnsi="Times New Roman"/>
          <w:sz w:val="18"/>
          <w:szCs w:val="18"/>
          <w:color w:val="auto"/>
        </w:rPr>
        <w:t>68,647,904</w:t>
      </w:r>
    </w:p>
    <w:p>
      <w:pPr>
        <w:spacing w:after="0" w:line="50" w:lineRule="exact"/>
        <w:rPr>
          <w:sz w:val="20"/>
          <w:szCs w:val="20"/>
          <w:color w:val="auto"/>
        </w:rPr>
      </w:pPr>
    </w:p>
    <w:p>
      <w:pPr>
        <w:ind w:left="220"/>
        <w:spacing w:after="0"/>
        <w:tabs>
          <w:tab w:leader="none" w:pos="1520" w:val="left"/>
        </w:tabs>
        <w:rPr>
          <w:sz w:val="20"/>
          <w:szCs w:val="20"/>
          <w:color w:val="auto"/>
        </w:rPr>
      </w:pPr>
      <w:r>
        <w:rPr>
          <w:rFonts w:ascii="Times New Roman" w:cs="Times New Roman" w:eastAsia="Times New Roman" w:hAnsi="Times New Roman"/>
          <w:sz w:val="18"/>
          <w:szCs w:val="18"/>
          <w:color w:val="auto"/>
        </w:rPr>
        <w:t>75,000,000</w:t>
      </w:r>
      <w:r>
        <w:rPr>
          <w:sz w:val="20"/>
          <w:szCs w:val="20"/>
          <w:color w:val="auto"/>
        </w:rPr>
        <w:tab/>
      </w:r>
      <w:r>
        <w:rPr>
          <w:rFonts w:ascii="Times New Roman" w:cs="Times New Roman" w:eastAsia="Times New Roman" w:hAnsi="Times New Roman"/>
          <w:sz w:val="18"/>
          <w:szCs w:val="18"/>
          <w:color w:val="auto"/>
        </w:rPr>
        <w:t>14,203,518</w:t>
      </w:r>
    </w:p>
    <w:p>
      <w:pPr>
        <w:spacing w:after="0" w:line="63" w:lineRule="exact"/>
        <w:rPr>
          <w:sz w:val="20"/>
          <w:szCs w:val="20"/>
          <w:color w:val="auto"/>
        </w:rPr>
      </w:pPr>
    </w:p>
    <w:p>
      <w:pPr>
        <w:ind w:left="220"/>
        <w:spacing w:after="0"/>
        <w:tabs>
          <w:tab w:leader="none" w:pos="2280" w:val="left"/>
        </w:tabs>
        <w:rPr>
          <w:sz w:val="20"/>
          <w:szCs w:val="20"/>
          <w:color w:val="auto"/>
        </w:rPr>
      </w:pPr>
      <w:r>
        <w:rPr>
          <w:rFonts w:ascii="Times New Roman" w:cs="Times New Roman" w:eastAsia="Times New Roman" w:hAnsi="Times New Roman"/>
          <w:sz w:val="18"/>
          <w:szCs w:val="18"/>
          <w:color w:val="auto"/>
        </w:rPr>
        <w:t>75,000,000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auto"/>
        </w:rPr>
        <w:t>1,000,000,000</w:t>
      </w:r>
      <w:r>
        <w:rPr>
          <w:sz w:val="20"/>
          <w:szCs w:val="20"/>
          <w:color w:val="auto"/>
        </w:rPr>
        <w:tab/>
      </w:r>
      <w:r>
        <w:rPr>
          <w:rFonts w:ascii="Times New Roman" w:cs="Times New Roman" w:eastAsia="Times New Roman" w:hAnsi="Times New Roman"/>
          <w:sz w:val="18"/>
          <w:szCs w:val="18"/>
          <w:color w:val="auto"/>
        </w:rPr>
        <w:t>82,851,422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17145</wp:posOffset>
            </wp:positionV>
            <wp:extent cx="7029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43180</wp:posOffset>
            </wp:positionV>
            <wp:extent cx="15684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46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SHARE CAPITAL: (Cont.)</w:t>
      </w:r>
    </w:p>
    <w:p>
      <w:pPr>
        <w:spacing w:after="0" w:line="22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Numbers of shares have been retroactively adjusted to reflect the Recapitalization, as detailed below.</w:t>
      </w:r>
    </w:p>
    <w:p>
      <w:pPr>
        <w:spacing w:after="0" w:line="22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shares and Preferred A, B, C, C-2, D, E and F:</w:t>
      </w:r>
    </w:p>
    <w:p>
      <w:pPr>
        <w:spacing w:after="0" w:line="225" w:lineRule="exact"/>
        <w:rPr>
          <w:rFonts w:ascii="Times New Roman" w:cs="Times New Roman" w:eastAsia="Times New Roman" w:hAnsi="Times New Roman"/>
          <w:sz w:val="18"/>
          <w:szCs w:val="18"/>
          <w:b w:val="1"/>
          <w:bCs w:val="1"/>
          <w:color w:val="auto"/>
        </w:rPr>
      </w:pPr>
    </w:p>
    <w:p>
      <w:pPr>
        <w:ind w:left="19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completion of our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Company affected a recapitalization comprised of the following steps (the “</w:t>
      </w:r>
      <w:r>
        <w:rPr>
          <w:rFonts w:ascii="Times New Roman" w:cs="Times New Roman" w:eastAsia="Times New Roman" w:hAnsi="Times New Roman"/>
          <w:sz w:val="18"/>
          <w:szCs w:val="18"/>
          <w:b w:val="1"/>
          <w:bCs w:val="1"/>
          <w:color w:val="auto"/>
        </w:rPr>
        <w:t>Recapitalization</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2600" w:right="160" w:hanging="648"/>
        <w:spacing w:after="0" w:line="282" w:lineRule="auto"/>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our issued and outstanding Preferred A, B, C, C-2, D, E and F shares into common shares on a one-for-one basis (the “</w:t>
      </w:r>
      <w:r>
        <w:rPr>
          <w:rFonts w:ascii="Times New Roman" w:cs="Times New Roman" w:eastAsia="Times New Roman" w:hAnsi="Times New Roman"/>
          <w:sz w:val="18"/>
          <w:szCs w:val="18"/>
          <w:b w:val="1"/>
          <w:bCs w:val="1"/>
          <w:color w:val="auto"/>
        </w:rPr>
        <w:t>Preferred Conversion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two-for-one share split of our common shares (the “</w:t>
      </w:r>
      <w:r>
        <w:rPr>
          <w:rFonts w:ascii="Times New Roman" w:cs="Times New Roman" w:eastAsia="Times New Roman" w:hAnsi="Times New Roman"/>
          <w:sz w:val="18"/>
          <w:szCs w:val="18"/>
          <w:b w:val="1"/>
          <w:bCs w:val="1"/>
          <w:color w:val="auto"/>
        </w:rPr>
        <w:t>Share Split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all of our issued and outstanding common shares, after giving effect to the Preferred Conversion and the Share Split, into an equal number of common A shares (“</w:t>
      </w:r>
      <w:r>
        <w:rPr>
          <w:rFonts w:ascii="Times New Roman" w:cs="Times New Roman" w:eastAsia="Times New Roman" w:hAnsi="Times New Roman"/>
          <w:sz w:val="18"/>
          <w:szCs w:val="18"/>
          <w:b w:val="1"/>
          <w:bCs w:val="1"/>
          <w:color w:val="auto"/>
        </w:rPr>
        <w:t>Class A Common Shares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Reclassification</w:t>
      </w:r>
      <w:r>
        <w:rPr>
          <w:rFonts w:ascii="Times New Roman" w:cs="Times New Roman" w:eastAsia="Times New Roman" w:hAnsi="Times New Roman"/>
          <w:sz w:val="18"/>
          <w:szCs w:val="18"/>
          <w:color w:val="auto"/>
        </w:rPr>
        <w:t>”, respectively); and</w:t>
      </w:r>
    </w:p>
    <w:p>
      <w:pPr>
        <w:spacing w:after="0" w:line="171" w:lineRule="exact"/>
        <w:rPr>
          <w:rFonts w:ascii="Times New Roman" w:cs="Times New Roman" w:eastAsia="Times New Roman" w:hAnsi="Times New Roman"/>
          <w:sz w:val="18"/>
          <w:szCs w:val="18"/>
          <w:color w:val="auto"/>
        </w:rPr>
      </w:pPr>
    </w:p>
    <w:p>
      <w:pPr>
        <w:ind w:left="2600" w:hanging="648"/>
        <w:spacing w:after="0" w:line="286" w:lineRule="auto"/>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36,483,122 of our common B shares (“</w:t>
      </w:r>
      <w:r>
        <w:rPr>
          <w:rFonts w:ascii="Times New Roman" w:cs="Times New Roman" w:eastAsia="Times New Roman" w:hAnsi="Times New Roman"/>
          <w:sz w:val="18"/>
          <w:szCs w:val="18"/>
          <w:b w:val="1"/>
          <w:bCs w:val="1"/>
          <w:color w:val="auto"/>
        </w:rPr>
        <w:t>Class B Common Shares</w:t>
      </w:r>
      <w:r>
        <w:rPr>
          <w:rFonts w:ascii="Times New Roman" w:cs="Times New Roman" w:eastAsia="Times New Roman" w:hAnsi="Times New Roman"/>
          <w:sz w:val="18"/>
          <w:szCs w:val="18"/>
          <w:color w:val="auto"/>
        </w:rPr>
        <w:t>”) to all holders of our Class A common shares as of the Class A Reclassification on a one-for-one basis.</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Shares and Class B Common Shares:</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of the holders of Class A Common Shares and Class B Common Shares are identical, except with respect to voting, conversion, and transferability, as detailed below.</w:t>
      </w:r>
    </w:p>
    <w:p>
      <w:pPr>
        <w:spacing w:after="0" w:line="157" w:lineRule="exact"/>
        <w:rPr>
          <w:rFonts w:ascii="Times New Roman" w:cs="Times New Roman" w:eastAsia="Times New Roman" w:hAnsi="Times New Roman"/>
          <w:sz w:val="18"/>
          <w:szCs w:val="18"/>
          <w:b w:val="1"/>
          <w:bCs w:val="1"/>
          <w:color w:val="auto"/>
        </w:rPr>
      </w:pPr>
    </w:p>
    <w:p>
      <w:pPr>
        <w:ind w:left="19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Holders of Class A Common Shares and Class B Common Shares vote together as a single class on all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to a vote of shareholders, including the election of directors, unless otherwise required by law.</w:t>
      </w:r>
    </w:p>
    <w:p>
      <w:pPr>
        <w:spacing w:after="0" w:line="158"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Entitled to one (1) vote per share.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Shares: Entitled to ten (10) votes per share.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Voting: The Company’s Memorandum and Articles of Association do not provide for cumulative voting.</w:t>
      </w:r>
    </w:p>
    <w:p>
      <w:pPr>
        <w:spacing w:after="0" w:line="221" w:lineRule="exact"/>
        <w:rPr>
          <w:sz w:val="20"/>
          <w:szCs w:val="20"/>
          <w:color w:val="auto"/>
        </w:rPr>
      </w:pPr>
    </w:p>
    <w:p>
      <w:pPr>
        <w:ind w:left="19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Rights </w:t>
      </w:r>
      <w:r>
        <w:rPr>
          <w:rFonts w:ascii="Times New Roman" w:cs="Times New Roman" w:eastAsia="Times New Roman" w:hAnsi="Times New Roman"/>
          <w:sz w:val="18"/>
          <w:szCs w:val="18"/>
          <w:color w:val="auto"/>
        </w:rPr>
        <w:t>Class A Common Shares are not convertible. Class B Common Shares are convertible into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on a one-for-one basis as follows:</w:t>
      </w:r>
    </w:p>
    <w:p>
      <w:pPr>
        <w:spacing w:after="0" w:line="159" w:lineRule="exact"/>
        <w:rPr>
          <w:sz w:val="20"/>
          <w:szCs w:val="20"/>
          <w:color w:val="auto"/>
        </w:rPr>
      </w:pPr>
    </w:p>
    <w:p>
      <w:pPr>
        <w:ind w:left="2600" w:hanging="648"/>
        <w:spacing w:after="0"/>
        <w:tabs>
          <w:tab w:leader="none" w:pos="2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Convertible at any time at the option of the holder.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on Transfer</w:t>
      </w:r>
      <w:r>
        <w:rPr>
          <w:rFonts w:ascii="Times New Roman" w:cs="Times New Roman" w:eastAsia="Times New Roman" w:hAnsi="Times New Roman"/>
          <w:sz w:val="18"/>
          <w:szCs w:val="18"/>
          <w:color w:val="auto"/>
        </w:rPr>
        <w:t>: Automatically converted upon any transfer, whether or not for value, unless the transfer is to a permitted transferee (e.g., family members, trusts, or affiliates under common control).</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on Death/Incapacity</w:t>
      </w:r>
      <w:r>
        <w:rPr>
          <w:rFonts w:ascii="Times New Roman" w:cs="Times New Roman" w:eastAsia="Times New Roman" w:hAnsi="Times New Roman"/>
          <w:sz w:val="18"/>
          <w:szCs w:val="18"/>
          <w:color w:val="auto"/>
        </w:rPr>
        <w:t>: Automatically converted upon the death or incapacity of a natural person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SHARE CAPITAL: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Shares and Class B Common Shares: (Cont.)</w:t>
      </w:r>
    </w:p>
    <w:p>
      <w:pPr>
        <w:spacing w:after="0" w:line="229" w:lineRule="exact"/>
        <w:rPr>
          <w:rFonts w:ascii="Times New Roman" w:cs="Times New Roman" w:eastAsia="Times New Roman" w:hAnsi="Times New Roman"/>
          <w:sz w:val="18"/>
          <w:szCs w:val="18"/>
          <w:b w:val="1"/>
          <w:bCs w:val="1"/>
          <w:color w:val="auto"/>
        </w:rPr>
      </w:pPr>
    </w:p>
    <w:p>
      <w:pPr>
        <w:ind w:left="2600" w:hanging="648"/>
        <w:spacing w:after="0" w:line="282" w:lineRule="auto"/>
        <w:tabs>
          <w:tab w:leader="none" w:pos="260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All Class B Common Shares will automatically convert into Class A Common Shares upon the earliest of:</w:t>
      </w:r>
    </w:p>
    <w:p>
      <w:pPr>
        <w:spacing w:after="0" w:line="161"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3"/>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a written consent or affirmative vote of holders of at least two thirds of the outstanding Class B Common Shares;</w:t>
      </w:r>
    </w:p>
    <w:p>
      <w:pPr>
        <w:spacing w:after="0" w:line="161" w:lineRule="exact"/>
        <w:rPr>
          <w:rFonts w:ascii="Times New Roman" w:cs="Times New Roman" w:eastAsia="Times New Roman" w:hAnsi="Times New Roman"/>
          <w:sz w:val="18"/>
          <w:szCs w:val="18"/>
          <w:color w:val="auto"/>
        </w:rPr>
      </w:pPr>
    </w:p>
    <w:p>
      <w:pPr>
        <w:jc w:val="both"/>
        <w:ind w:left="3240" w:hanging="640"/>
        <w:spacing w:after="0" w:line="266" w:lineRule="auto"/>
        <w:tabs>
          <w:tab w:leader="none" w:pos="3240" w:val="left"/>
        </w:tabs>
        <w:numPr>
          <w:ilvl w:val="3"/>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total number of issued and outstanding Class B Common Shares represents less than 15% of the total number of Class B Common Shares issued as of the date of the offering (calculated on a fully diluted basis); or</w:t>
      </w:r>
    </w:p>
    <w:p>
      <w:pPr>
        <w:spacing w:after="0" w:line="15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3"/>
          <w:numId w:val="1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of the offering.</w:t>
      </w:r>
    </w:p>
    <w:p>
      <w:pPr>
        <w:spacing w:after="0" w:line="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Once converted into Class A Common Shares, Class B Common Shares may not be reissued.</w:t>
      </w:r>
    </w:p>
    <w:p>
      <w:pPr>
        <w:spacing w:after="0" w:line="219" w:lineRule="exact"/>
        <w:rPr>
          <w:sz w:val="20"/>
          <w:szCs w:val="20"/>
          <w:color w:val="auto"/>
        </w:rPr>
      </w:pPr>
    </w:p>
    <w:p>
      <w:pPr>
        <w:jc w:val="both"/>
        <w:ind w:left="19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and Distributions </w:t>
      </w:r>
      <w:r>
        <w:rPr>
          <w:rFonts w:ascii="Times New Roman" w:cs="Times New Roman" w:eastAsia="Times New Roman" w:hAnsi="Times New Roman"/>
          <w:sz w:val="18"/>
          <w:szCs w:val="18"/>
          <w:color w:val="auto"/>
        </w:rPr>
        <w:t>Class A Common Shares and Class B Common Shares shall be treated equally and ratably,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basis with respect to any dividend or distribution paid or distributed by the Company.</w:t>
      </w:r>
    </w:p>
    <w:p>
      <w:pPr>
        <w:spacing w:after="0" w:line="155"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Liquidation Rights </w:t>
      </w:r>
      <w:r>
        <w:rPr>
          <w:rFonts w:ascii="Times New Roman" w:cs="Times New Roman" w:eastAsia="Times New Roman" w:hAnsi="Times New Roman"/>
          <w:sz w:val="18"/>
          <w:szCs w:val="18"/>
          <w:color w:val="auto"/>
        </w:rPr>
        <w:t>In the event of liquidation, dissolution, or winding-up, holders of Class A Common Shares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are entitled to share equally and ratably in all assets remaining after payment of liabilities and any liquidation preferences applicable to outstanding preferred shares.</w:t>
      </w:r>
    </w:p>
    <w:p>
      <w:pPr>
        <w:spacing w:after="0" w:line="171" w:lineRule="exact"/>
        <w:rPr>
          <w:sz w:val="20"/>
          <w:szCs w:val="20"/>
          <w:color w:val="auto"/>
        </w:rPr>
      </w:pPr>
    </w:p>
    <w:p>
      <w:pPr>
        <w:ind w:left="1960" w:hanging="656"/>
        <w:spacing w:after="0"/>
        <w:tabs>
          <w:tab w:leader="none" w:pos="19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shares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series of our preferred shares shall have such designations, powers, preferences, rights, qualifications, limitations and restrictions as specified by our board of directors pursuant to resolutions approving the issuance of such series of preferred shares</w:t>
      </w:r>
    </w:p>
    <w:p>
      <w:pPr>
        <w:spacing w:after="0" w:line="17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SBT shares</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numbers above exclude 120,606 Class A Common Shares and 2,630,552 Class B Common Shares that have not yet been issued and will not be issued to SBT Venture Fund I (“</w:t>
      </w:r>
      <w:r>
        <w:rPr>
          <w:rFonts w:ascii="Times New Roman" w:cs="Times New Roman" w:eastAsia="Times New Roman" w:hAnsi="Times New Roman"/>
          <w:sz w:val="18"/>
          <w:szCs w:val="18"/>
          <w:b w:val="1"/>
          <w:bCs w:val="1"/>
          <w:color w:val="auto"/>
        </w:rPr>
        <w:t>SBT</w:t>
      </w:r>
      <w:r>
        <w:rPr>
          <w:rFonts w:ascii="Times New Roman" w:cs="Times New Roman" w:eastAsia="Times New Roman" w:hAnsi="Times New Roman"/>
          <w:sz w:val="18"/>
          <w:szCs w:val="18"/>
          <w:color w:val="auto"/>
        </w:rPr>
        <w:t>”) as long as SBT is subject to the sanctions restrictions, including Preferred F shares converted into an equal number of Class A Common Shares pursuant to the Recapitalization which were authorized but not issued to SBT, and which would have been entitled to distribution of Class B Common Shares upon the Class B Distribution.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MOVEMENT IN SHARE CAPITAL:</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share capital (there is no par value):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6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10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67,553,230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Preferred F shares in respect of conversion of Advanced Investment Agreement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6,392,084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in respect of asset acquisition (Deep)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shares in respect of termination of Gatsby founder</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(19,376)</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Exercise of employees’ options into common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1,027,961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74,784,899</w:t>
            </w:r>
          </w:p>
        </w:tc>
      </w:tr>
      <w:tr>
        <w:trPr>
          <w:trHeight w:val="21"/>
        </w:trPr>
        <w:tc>
          <w:tcPr>
            <w:tcW w:w="100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74,784,899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 in respect of acquisition (Spaceship)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453,332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in respect of asset acquisition (Deep)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Exercise of employees’ options into common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229,959</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75,476,190</w:t>
            </w:r>
          </w:p>
        </w:tc>
      </w:tr>
      <w:tr>
        <w:trPr>
          <w:trHeight w:val="20"/>
        </w:trPr>
        <w:tc>
          <w:tcPr>
            <w:tcW w:w="100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75,476,190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 in the IPO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7,749,961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 capital</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(1,568,741)</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Exercise of employees’ options into common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1,194,012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82,851,422</w:t>
            </w:r>
          </w:p>
        </w:tc>
      </w:tr>
      <w:tr>
        <w:trPr>
          <w:trHeight w:val="21"/>
        </w:trPr>
        <w:tc>
          <w:tcPr>
            <w:tcW w:w="1060" w:type="dxa"/>
            <w:vAlign w:val="bottom"/>
            <w:tcBorders>
              <w:top w:val="single" w:sz="8" w:color="CCEEFF"/>
            </w:tcBorders>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of shares have been retroactively adjusted to reflect the Recapitalization, as in Note 16(A).</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SHARE OPTION PLAN:</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14, 2007, the Company’s Board adopted the eToro Group Ltd. 2007 Employee Share Option Plan (the “2007 Plan”). On August 23, 2021, the Company’s board adopted a new share incentive plan, which was amended on May 14, 2025 as part of the IPO of the Company (as amended, the “2021 Plan”). eToro will no longer grant any awards under the 2007 Plan, however, outstanding options that were previously granted under the 2007 Plan will remain outstanding and governed according to the terms of the 2007 Plan.</w:t>
      </w:r>
    </w:p>
    <w:p>
      <w:pPr>
        <w:spacing w:after="0" w:line="17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reserved 32,277,441 of Class A common shares available for issuance to employees, directors, officers and consultants of the Company and its subsidiaries.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21, 2025, the Company resolved to reserve as an unallocated pool such number of shares that is equal to shares representing 7.5% of the issued and outstanding share capital of the Company calculated immediately after closing of the IPO, eventually resulting in unallocated pool of 8,254,881 shares.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immediately prior to the IPO, the unallocated pool of the Company consisted of 1,189,556 shares, resulting in an increase of the unallocated pool and the total pool by 7,065,325 shares, to an unallocated pool of 8,254,881 shares and a total pool of 32,277,441 as of immediately following the IPO.</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unallocated pool for the years ended December 31, 2025 and 2024 consists of 8,188,028 and 1,763,732 shares,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SHARE OPTION PLAN: (Cont.)</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14, 2024, the Company resolved to reprice the options to purchase common shares granted to employees of eToro Ltd. of 2,044,040 options, from an exercise price $21.56 or greater per option to $17.5 per option, and received a tax ruling from the Israeli Tax Authority in that regard on May 16, 2024.</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as of the date of the repricing the incremental value resulting from the modification amounted to $3,425.</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2025, the Company adopted the 2025 Employee Share Purchase Plan (ESPP), which comprises a U.S. tax-qualified component under Section 423 of the Internal Revenue Code and a non-qualified component to accommodate non-U.S. employees and other considerations. The plan allows eligible employees to purchase Class A common shares through payroll deductions ranging from 1% to a maximum of 20% of their compensation. Employees may withdraw from an offering period at any time before the purchase date, upon which their accumulated contributions are refunded, and no shares are purchased.</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initial pool of 2,201,301 Class A common shares is authorized for issuance under the ESPP, which also serves as the maximum limit for shares issued under the Section 423 component. The plan includes an evergreen provision where the total share pool automatically increases on the first day of each fiscal year from 2026 through 2035. This annual increase is equal to the lesser of 1.0% of the outstanding Class A common shares as of the preceding year-end or a smaller amount determined by the Board of Directors.</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administrator establishes the timing of the plan, with offering periods lasting up to a maximum of 27 months. Shares are purchased at a 15% discount, meaning the purchase price is set at 85% of the lower of the fair market value of the Class A common shares on either the first trading day or the last trading day of the respective offering period.</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share-based awards, granted in 2025 and 2024, was estimated using the Black &amp; Scholes option-pricing model with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39.25%</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Based on the above inputs, the average fair value of the options granted in the years ended December 31, 2025 and 2024, was determined at $38.61 and $51 per option, respectively.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These assumptions and estimates were determined as follows:</w:t>
      </w:r>
    </w:p>
    <w:p>
      <w:pPr>
        <w:spacing w:after="0" w:line="221"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 Since the Company has no trading history of its ordinary shares, the expected volatility is derived from the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share volatilities of several unrelated public companies within the Company’s industry that the Company considers to be comparable to its own business over a period equivalent to the option’s expected term.</w:t>
      </w:r>
    </w:p>
    <w:p>
      <w:pPr>
        <w:spacing w:after="0" w:line="17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Common Shares. </w:t>
      </w:r>
      <w:r>
        <w:rPr>
          <w:rFonts w:ascii="Times New Roman" w:cs="Times New Roman" w:eastAsia="Times New Roman" w:hAnsi="Times New Roman"/>
          <w:sz w:val="18"/>
          <w:szCs w:val="18"/>
          <w:color w:val="auto"/>
        </w:rPr>
        <w:t>Prior to the Company’s initial public offering, the fair value was determined by the Company’s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with input from management and valuation reports prepared by third-party valuation specialists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Subsequent to the initial public offering, the fair value of the Company’s shares is determined based on the quoted closing market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SHARE OPTION PLAN: (Cont.)</w:t>
      </w:r>
    </w:p>
    <w:p>
      <w:pPr>
        <w:spacing w:after="0" w:line="225" w:lineRule="exact"/>
        <w:rPr>
          <w:rFonts w:ascii="Times New Roman" w:cs="Times New Roman" w:eastAsia="Times New Roman" w:hAnsi="Times New Roman"/>
          <w:sz w:val="18"/>
          <w:szCs w:val="18"/>
          <w:b w:val="1"/>
          <w:bCs w:val="1"/>
          <w:color w:val="auto"/>
        </w:rPr>
      </w:pPr>
    </w:p>
    <w:p>
      <w:pPr>
        <w:ind w:left="13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Expected Dividend Yield. </w:t>
      </w:r>
      <w:r>
        <w:rPr>
          <w:rFonts w:ascii="Times New Roman" w:cs="Times New Roman" w:eastAsia="Times New Roman" w:hAnsi="Times New Roman"/>
          <w:sz w:val="18"/>
          <w:szCs w:val="18"/>
          <w:color w:val="auto"/>
        </w:rPr>
        <w:t>The Company does not presently plan to pay cash dividends in the foreseeable future. As a result, an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yield of zero percent was used.</w:t>
      </w:r>
    </w:p>
    <w:p>
      <w:pPr>
        <w:spacing w:after="0" w:line="154" w:lineRule="exact"/>
        <w:rPr>
          <w:rFonts w:ascii="Times New Roman" w:cs="Times New Roman" w:eastAsia="Times New Roman" w:hAnsi="Times New Roman"/>
          <w:sz w:val="18"/>
          <w:szCs w:val="18"/>
          <w:b w:val="1"/>
          <w:bCs w:val="1"/>
          <w:color w:val="auto"/>
        </w:rPr>
      </w:pPr>
    </w:p>
    <w:p>
      <w:pPr>
        <w:ind w:left="13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rate for the expected term of the options is based on the Black-Scholes option-pricing model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yields of U.S. Treasury securities with maturities appropriate for the expected term of employee share option awards.</w:t>
      </w:r>
    </w:p>
    <w:p>
      <w:pPr>
        <w:spacing w:after="0" w:line="158"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ESPP, including awards granted in 2025, was estimated using a Monte Carlo simulation that incorporates the plan’s terms and conditions, based on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5"/>
        </w:trPr>
        <w:tc>
          <w:tcPr>
            <w:tcW w:w="99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44.69%</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value (USD)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 The volatility was estimated based on the daily historical change in the ordinary share price of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for a period of 1 year, as we consider this the minimum representative period for a stock volatility.</w:t>
      </w:r>
    </w:p>
    <w:p>
      <w:pPr>
        <w:spacing w:after="0" w:line="155" w:lineRule="exact"/>
        <w:rPr>
          <w:sz w:val="20"/>
          <w:szCs w:val="20"/>
          <w:color w:val="auto"/>
        </w:rPr>
      </w:pPr>
    </w:p>
    <w:p>
      <w:pPr>
        <w:ind w:left="13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Common Shares. </w:t>
      </w:r>
      <w:r>
        <w:rPr>
          <w:rFonts w:ascii="Times New Roman" w:cs="Times New Roman" w:eastAsia="Times New Roman" w:hAnsi="Times New Roman"/>
          <w:sz w:val="18"/>
          <w:szCs w:val="18"/>
          <w:color w:val="auto"/>
        </w:rPr>
        <w:t>The ordinary share value is based on the closing price of the Company’s ordinary share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date.</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Dividend Yield. </w:t>
      </w:r>
      <w:r>
        <w:rPr>
          <w:rFonts w:ascii="Times New Roman" w:cs="Times New Roman" w:eastAsia="Times New Roman" w:hAnsi="Times New Roman"/>
          <w:sz w:val="18"/>
          <w:szCs w:val="18"/>
          <w:color w:val="auto"/>
        </w:rPr>
        <w:t>The company does not presently plan to pay cash dividends in the foreseeable future. As a result, an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yield of zero percent was used.</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estimation of the risk-free interest rate was based on the zero-coupon yield of US treasury bonds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0.5 years as of the valuation date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share-based payment expense was recorded in the statement of profit or loss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w:t>
            </w: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operating</w:t>
            </w:r>
          </w:p>
        </w:tc>
        <w:tc>
          <w:tcPr>
            <w:tcW w:w="3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57,504</w:t>
            </w:r>
          </w:p>
        </w:tc>
      </w:tr>
      <w:tr>
        <w:trPr>
          <w:trHeight w:val="27"/>
        </w:trPr>
        <w:tc>
          <w:tcPr>
            <w:tcW w:w="41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27,150</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66,143</w:t>
            </w:r>
          </w:p>
        </w:tc>
      </w:tr>
      <w:tr>
        <w:trPr>
          <w:trHeight w:val="21"/>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8"/>
                <w:szCs w:val="18"/>
                <w:color w:val="auto"/>
              </w:rPr>
              <w:t>F-44</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1" w:name="page192"/>
    <w:bookmarkEnd w:id="191"/>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SHARE OPTION PLAN: (Cont.)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outstanding options were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4"/>
                <w:szCs w:val="24"/>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14,474,648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725,020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(1,197,280)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(86,590)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13,915,798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12,317,036</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4"/>
                <w:szCs w:val="24"/>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14,372,252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725,200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(229,960)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14,474,648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12,537,644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4"/>
                <w:szCs w:val="24"/>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at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15,409,236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379,600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(1,027,960)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(388,624)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end of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14,372,252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11,004,004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weighted average share price at the date of exercise of the options exercised during the years ended December 31, 2025 and 2024 was $42.76 and $27, respectively.</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for the share options outstanding as of December 31, 2025 and 2024 was 5.48 years and 5.4 years, respectively.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range of exercise prices for options outstanding as of December 31, 2025 and 2024 was $0 to $64.26.</w:t>
      </w:r>
    </w:p>
    <w:p>
      <w:pPr>
        <w:spacing w:after="0" w:line="225" w:lineRule="exact"/>
        <w:rPr>
          <w:sz w:val="20"/>
          <w:szCs w:val="20"/>
          <w:color w:val="auto"/>
        </w:rPr>
      </w:pPr>
    </w:p>
    <w:p>
      <w:pPr>
        <w:jc w:val="center"/>
        <w:ind w:left="5460" w:right="600" w:hanging="5452"/>
        <w:spacing w:after="0" w:line="783" w:lineRule="auto"/>
        <w:tabs>
          <w:tab w:leader="none" w:pos="33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of shares and USD weighted average exercise prices have been retroactively adjusted to reflect the Recapitalization, as in Note 16(A)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EVENTS IN THE REPORTING PERIOD:</w:t>
      </w:r>
    </w:p>
    <w:p>
      <w:pPr>
        <w:spacing w:after="0" w:line="229"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signed an Advanced Investment Agreement (the “AIA”) with investors. According to the Advanced Investment Agreement, the investors, severally and not jointly, have agreed to provide the Company with a bridge investment in the aggregate amount of up to $250,000 (the “Total Investment Amount”).</w:t>
      </w:r>
    </w:p>
    <w:p>
      <w:pPr>
        <w:spacing w:after="0" w:line="175" w:lineRule="exact"/>
        <w:rPr>
          <w:rFonts w:ascii="Times New Roman" w:cs="Times New Roman" w:eastAsia="Times New Roman" w:hAnsi="Times New Roman"/>
          <w:sz w:val="18"/>
          <w:szCs w:val="18"/>
          <w:b w:val="1"/>
          <w:bCs w:val="1"/>
          <w:color w:val="auto"/>
        </w:rPr>
      </w:pPr>
    </w:p>
    <w:p>
      <w:pPr>
        <w:jc w:val="both"/>
        <w:ind w:left="1960" w:hanging="656"/>
        <w:spacing w:after="0" w:line="256" w:lineRule="auto"/>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2023, at the lapse of twenty-four (24) months from the closing date of the AIA (the “Trigger Date”), an amount of $240,909 was converted to 6,392,084 Senior Preferred F Shares of the Company, in accordance with the terms and conditions of the AIA. This amount represents the Total Investment Amount, excluding an amount of $9,091 invested by SBT Venture Fund I (“SBT”), L.P., an entity controlled by Sberbank, which is designated as a sanctioned party and therefore non-compliant with the terms of the AIA. As result, the conversion of the $9,091 investment by SBT, representing 241,212 Preferred F Shares, has been suspended</w:t>
      </w:r>
    </w:p>
    <w:p>
      <w:pPr>
        <w:spacing w:after="0" w:line="187"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2023, the Company purchased 200,000 of the Company’s Class B Preferred Shares, at a price of $52.50 per share, from a shareholder, pursuant to and by exercising a right of first refusal it had over such transaction.</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Secondary transaction:</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2023, certain investors and employees of the Company (the “Sellers”) entered into an agreement with two existing investors of the Company (the “Buyers”) and sold an aggregate amount of 5,625,216 shares of the Company, consisting of common shares and several different classes of preferred shares to the Buyers. at a price per share that was mutually agreed to by the parties. The Sellers of the preferred shares agreed to convert their shares into common shares at a 1:1 ratio immediately prior to the sale thereof. The secondary transaction was consummated at fair value and accordingly, no additional compensation was recorded.</w:t>
      </w:r>
    </w:p>
    <w:p>
      <w:pPr>
        <w:spacing w:after="0" w:line="183"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22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2023, the Group entered into an Asset Sale and Purchase Agreement (the “Agreement”) with Deep It Ltd. (“Deep”), to acquire Deep’s technology, an IP that enables content automation technology for $525 in cash and 39,000 common shares.</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 2024, the Company consummated a business combination transaction where control over Spaceship Financial Services Pty Ltd. (“Spaceship”) was obtained (see Note 22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(Cont.)</w:t>
      </w:r>
    </w:p>
    <w:p>
      <w:pPr>
        <w:spacing w:after="0" w:line="22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EVENTS IN THE REPORTING PERIOD: (Cont.)</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15, 2025, the Company consummated its initial public offering (“IPO”) of 13,711,470 Class A Common Shares, no par value, at a price to the public of $52.00 per share. This offering included the issuance of 1,788,452 Class A Common Shares resulting from the underwriters’ full exercise of</w:t>
      </w:r>
    </w:p>
    <w:p>
      <w:pPr>
        <w:spacing w:after="0" w:line="175"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their over-allotment option. Of the 13,711,470 Class A Common Shares sold in the IPO, 7,749,961 shares were issued and sold by the Company, and 5,961,509 shares were sold by selling shareholders.</w:t>
      </w:r>
    </w:p>
    <w:p>
      <w:pPr>
        <w:spacing w:after="0" w:line="161" w:lineRule="exact"/>
        <w:rPr>
          <w:rFonts w:ascii="Times New Roman" w:cs="Times New Roman" w:eastAsia="Times New Roman" w:hAnsi="Times New Roman"/>
          <w:sz w:val="18"/>
          <w:szCs w:val="18"/>
          <w:b w:val="1"/>
          <w:bCs w:val="1"/>
          <w:color w:val="auto"/>
        </w:rPr>
      </w:pPr>
    </w:p>
    <w:p>
      <w:pPr>
        <w:jc w:val="both"/>
        <w:ind w:left="19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to the Company from the IPO were $378 million, after deducting underwriting discounts, commissions, and estimated offering expenses payable by the Company. As of December 31,2025, the related costs of $25.1 million which directly attributable to the issuance of new shares , were recognized as a reduction of the gross proceeds within the Share Premium. Additional related costs of $10.9 million, which relate to the listing of existing shares, were recognized as expenses in the Statement of Profit or Loss under General, Administrative, and Operating expenses. As of December 31,2024, related cost of $1.3 million, were recognized as expenses in the Statement of Profit or Loss under General, Administrative, and Operating expenses.</w:t>
      </w:r>
    </w:p>
    <w:p>
      <w:pPr>
        <w:spacing w:after="0" w:line="188"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IPO, the Company effected the Recapitalization, as detailed in Note 16(A).</w:t>
      </w:r>
    </w:p>
    <w:p>
      <w:pPr>
        <w:spacing w:after="0" w:line="22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10, 2025, the Company announced that its Board of Directors has authorized a share repurchase program of up to $150million (the “</w:t>
      </w: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 On November 13, 2025, the Company entered into an accelerated share repurchase transaction with Goldman Sachs &amp; Co. LLC to repurchase an aggregate of $51.1 million of Class A Common Shares under the Share Repurchase Program.</w:t>
      </w:r>
    </w:p>
    <w:p>
      <w:pPr>
        <w:spacing w:after="0" w:line="179"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during the fourth quarter of 2025, the Company repurchased an aggregate of $10.9 million of its Class A Common Shares through buyback transactions in the open market.</w:t>
      </w:r>
    </w:p>
    <w:p>
      <w:pPr>
        <w:spacing w:after="0" w:line="16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further details regarding subsequent transactions, see Note 25, Subsequent Events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w:t>
      </w:r>
    </w:p>
    <w:p>
      <w:pPr>
        <w:spacing w:after="0" w:line="225"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LAWS APPLICABLE IN ISRAEL:</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Amendment to the Law for the Encouragement of Capital Investments, 1959 (Amendment 73) (the “Encouragement Law”):</w:t>
      </w:r>
    </w:p>
    <w:p>
      <w:pPr>
        <w:spacing w:after="0" w:line="22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Amendment 73 to the Encouragement Law prescribes special tax tracks for technological enterprises, which became effective in 2017, as follows: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Preferred Technological Enterprise, (“PTE”) as defined in the Encouragement Law will be subject to tax at a rate of 12% on profits deriving from intellectual property which meets the conditions of being treated as “Preferred Technological Income” or 6% if the PTE’s annual revenues exceed ILS 10 billion (Special Preferred Technological Enterprise, “SPTE”).</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dividend distributed from PTE to non-Israeli shareholders or individuals, sourced in the income from the technological enterprise is subject to reduced Israeli withholding tax rate of 20% (or lower rate under the applicable tax treaty). No withholding tax will be remitted upon distribution of dividend sourced in preferred technological income to an Israeli corporation.</w:t>
      </w:r>
    </w:p>
    <w:p>
      <w:pPr>
        <w:spacing w:after="0" w:line="17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RATES APPLICABLE OF THE MAIN ENTITIES IN THE GROUP:</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Non-Israeli subsidiaries are taxed according to the tax laws in their respective countries of residence.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Applicable corporate</w:t>
            </w:r>
          </w:p>
        </w:tc>
      </w:tr>
      <w:tr>
        <w:trPr>
          <w:trHeight w:val="245"/>
        </w:trPr>
        <w:tc>
          <w:tcPr>
            <w:tcW w:w="3460" w:type="dxa"/>
            <w:vAlign w:val="bottom"/>
          </w:tcPr>
          <w:p>
            <w:pPr>
              <w:spacing w:after="0"/>
              <w:rPr>
                <w:sz w:val="21"/>
                <w:szCs w:val="21"/>
                <w:color w:val="auto"/>
              </w:rPr>
            </w:pP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tax rate</w:t>
            </w:r>
          </w:p>
        </w:tc>
      </w:t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Group Ltd.</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British Virgin Islands*</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eToro (Europe) Ltd.</w:t>
            </w: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Cyprus</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Ltd.</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Israel**</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eToro (UK) Ltd.</w:t>
            </w: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UK</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USA LLC</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USA</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eToro Group Trading Ltd.</w:t>
            </w: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British Virgin Islands***</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Australia Capital Pty Ltd</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Australia</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eToro USA Securities Inc.</w:t>
            </w: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USA</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Seychelles</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Seychelles</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 from the net revenue</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eToro (ME) Ltd</w:t>
            </w:r>
          </w:p>
        </w:tc>
        <w:tc>
          <w:tcPr>
            <w:tcW w:w="56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UAE</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Singapore Pte Ltd.</w:t>
            </w:r>
          </w:p>
        </w:tc>
        <w:tc>
          <w:tcPr>
            <w:tcW w:w="560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Singapore</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ind w:left="460" w:hanging="452"/>
        <w:spacing w:after="0" w:line="261" w:lineRule="auto"/>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an assessment agreement with the Israeli Tax Authority (the ITA) dated August 2017, eToro Group Ltd. is considered an Israeli resident for tax purposes starting January 1, 2015, and its entire income and expense for tax purposes shall be recorded in eToro Ltd.</w:t>
      </w:r>
    </w:p>
    <w:p>
      <w:pPr>
        <w:jc w:val="both"/>
        <w:ind w:left="460" w:hanging="452"/>
        <w:spacing w:after="0" w:line="250" w:lineRule="auto"/>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corporate tax rate in Israel is 23%. In August 2020, the Company received a pre-ruling approval from the ITA regarding its eligibility to be classified as PTE effective as of 2018 and until 2022. eToro Ltd. applied to the ITA to receive an additional pre-ruling approval, regarding its eligibility to be classified as SPTE.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Group Trading Ltd. is a tax resident of Cyprus effective date January 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 (Cont.)</w:t>
      </w:r>
    </w:p>
    <w:p>
      <w:pPr>
        <w:spacing w:after="0" w:line="225"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225"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Open Tax assessments:</w:t>
      </w:r>
    </w:p>
    <w:p>
      <w:pPr>
        <w:spacing w:after="0" w:line="229"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Ltd. and eToro Group Ltd. are currently under corporate income tax audits in Israel for tax years 2017-2022 initiated by the ITA.</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EU is currently under corporate tax audit in Cyprus for tax years 2014-2016, 2019.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tax returns of certain subsidiaries are still subject to audits by the tax authorities from 2019 to date.</w:t>
      </w:r>
    </w:p>
    <w:p>
      <w:pPr>
        <w:spacing w:after="0" w:line="221"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Carryforward losses for tax purposes: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has carryforward operating tax losses and carryforward capital tax losses of approximately $65,730 and $1,158, respectively.</w:t>
      </w:r>
    </w:p>
    <w:p>
      <w:pPr>
        <w:spacing w:after="0" w:line="158"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PILLAR TWO:</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Pillar Two model rules, released on December 20, 2021, are part of the two-pillar solution to address the tax challenges of the digitalization of the economy that was agreed by 142 member jurisdictions of the OECD/G20 Inclusive Framework on BEPS and endorsed by the G20 Finance Ministers and Leaders in October 2021.</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Pillar Two model rules are designed to ensure large multinational enterprises (“MNEs”) pay a minimum level of tax on the income arising in each jurisdiction where they operate.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Taxpayers in scope (MNEs with global revenue of at least €750m in at least two years out of the four previous years) calculate their effective tax rate according to the model rules provisions for each jurisdiction where they operate and should pay top-up tax on the difference between their effective tax rate per jurisdiction and the 15% minimum rate. Any resulting top-up tax will be charged according to the coordinated system of interlocking rules that was introduced in the model rules (Qualified Domestic Minimum Top-Up Tax – QDMTT, Income Inclusion Rule – IIR, Under Tax Payment Rule – UTPR). A de minimis exclusion applies where there is a relatively small amount of revenue and income in a jurisdiction or when several other conditions are met.</w:t>
      </w:r>
    </w:p>
    <w:p>
      <w:pPr>
        <w:spacing w:after="0" w:line="187"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Pillar Two legislation has been enacted or substantively enacted in certain jurisdictions where the Group operates (including UK, Italy, Denmark, Germany, Belgium, Cyprus, Isarel, France, UAE, Gibraltar, Singapore and Australia), and will take effect in the financial year beginning January 1, 2024 in some of these jurisdictions.</w:t>
      </w:r>
    </w:p>
    <w:p>
      <w:pPr>
        <w:spacing w:after="0" w:line="17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Group’s assessment, as of 31 December 2025, the Group does not expect material implications as result of Pillar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 (Cont.)</w:t>
      </w:r>
    </w:p>
    <w:p>
      <w:pPr>
        <w:spacing w:after="0" w:line="225"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6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7"/>
              </w:rPr>
              <w:t>Statements of</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27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296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Statements of profit or loss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520" w:type="dxa"/>
            <w:vAlign w:val="bottom"/>
            <w:tcBorders>
              <w:top w:val="single" w:sz="8" w:color="auto"/>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0" w:type="dxa"/>
            <w:vAlign w:val="bottom"/>
          </w:tcPr>
          <w:p>
            <w:pPr>
              <w:spacing w:after="0"/>
              <w:rPr>
                <w:sz w:val="19"/>
                <w:szCs w:val="19"/>
                <w:color w:val="auto"/>
              </w:rPr>
            </w:pPr>
          </w:p>
        </w:tc>
        <w:tc>
          <w:tcPr>
            <w:tcW w:w="2960" w:type="dxa"/>
            <w:vAlign w:val="bottom"/>
            <w:tcBorders>
              <w:top w:val="single" w:sz="8" w:color="auto"/>
              <w:bottom w:val="single" w:sz="8" w:color="auto"/>
            </w:tcBorders>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6,058</w:t>
            </w: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Carryforward losses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1,218</w:t>
            </w: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4,893</w:t>
            </w: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movement</w:t>
            </w: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 reserves</w:t>
            </w:r>
          </w:p>
        </w:tc>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related to acquisition</w:t>
            </w:r>
          </w:p>
        </w:tc>
        <w:tc>
          <w:tcPr>
            <w:tcW w:w="2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income (expense)</w:t>
            </w:r>
          </w:p>
        </w:tc>
        <w:tc>
          <w:tcPr>
            <w:tcW w:w="2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6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0</wp:posOffset>
            </wp:positionV>
            <wp:extent cx="1594485"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1594485"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
        </w:trPr>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vMerge w:val="continue"/>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140" w:space="240"/>
            <w:col w:w="3860"/>
          </w:cols>
          <w:pgMar w:left="320" w:top="873" w:right="339" w:bottom="1440" w:gutter="0" w:footer="0" w:header="0"/>
          <w:type w:val="continuous"/>
        </w:sectPr>
      </w:pP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deferred taxes are computed using the tax rates expected upon realization.</w:t>
      </w:r>
    </w:p>
    <w:p>
      <w:pPr>
        <w:spacing w:after="0" w:line="221"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 INCLUDED IN PROFIT OR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58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(income) expense</w:t>
            </w:r>
          </w:p>
        </w:tc>
        <w:tc>
          <w:tcPr>
            <w:tcW w:w="4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 in respect of previous years</w:t>
            </w:r>
          </w:p>
        </w:tc>
        <w:tc>
          <w:tcPr>
            <w:tcW w:w="27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r>
      <w:tr>
        <w:trPr>
          <w:trHeight w:val="20"/>
        </w:trPr>
        <w:tc>
          <w:tcPr>
            <w:tcW w:w="4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F-50</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197" w:name="page198"/>
    <w:bookmarkEnd w:id="197"/>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TAXES ON INCOME (Cont.)</w:t>
      </w:r>
    </w:p>
    <w:p>
      <w:pPr>
        <w:spacing w:after="0" w:line="225"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THEORETICAL TAX:</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 between the taxes on income (tax benefit) , assuming that all the income and expense, gains and losses in the statement of income were taxed at the statutory tax rate and the taxes on income recorded in profit or loss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253,401</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245,619</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27,732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64"/>
        </w:trPr>
        <w:tc>
          <w:tcPr>
            <w:tcW w:w="7220" w:type="dxa"/>
            <w:vAlign w:val="bottom"/>
            <w:tcBorders>
              <w:bottom w:val="single" w:sz="8" w:color="CCEEFF"/>
            </w:tcBorders>
            <w:vMerge w:val="continue"/>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EFF"/>
            </w:tcBorders>
            <w:vMerge w:val="continue"/>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EFF"/>
            </w:tcBorders>
            <w:vMerge w:val="continue"/>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computed at the statutory tax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taxes on income resulting from the following:</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benefit arising from reduced rate as a “Special Preferred Technological Enterprise” and other</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benefits (See Note 17a above)</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(28,859)</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(27,280)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682</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3,160</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20,286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30,410</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10,698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temporary differences</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unrecognized tax losses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555</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2,382</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previously unrecognized tax losses</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(1,643)</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credited to equity</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382</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income at other tax rates</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(8,134)</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(10,420)</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Differences in measurement basis</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in respect of previous years</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1,456</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tax asset related to carryforward losses from prior years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exchange rates due to different tax reporting currency and functional currency</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(6,127)</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7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 on income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37,705</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53,238</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F-51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2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CONTINGENT LIABILITIES</w:t>
      </w:r>
    </w:p>
    <w:p>
      <w:pPr>
        <w:spacing w:after="0" w:line="225"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USERS’ CRYPTOASSETS</w:t>
      </w:r>
    </w:p>
    <w:p>
      <w:pPr>
        <w:spacing w:after="0" w:line="229"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committed to securely store all users’ cryptoassets and cryptographic keys held on behalf of its users. As such, the Company may be liable to its users for losses arising from the Company’s failure to secure these assets from theft, loss or being compromised. The Company has not incurred any losses related to such obligations and therefore has not accrued any liabilities as of December 31, 2025 and 2024. The Company holds cryptoassets in custody on behalf of its users off- balance sheet in the amount of $4,304,381 and $5,774,727 at fair value at December 31, 2025 and 2024, respectively. Since the risk of loss is remote, the Company did not record a contingent liability at December 31, 2025 or 2024. The Company has no reason to believe it will incur any expense associated with such potential liability because (i) it has no known or historical experience of claims to use as a basis of measurement, (ii) it accounts for and continually verifies the amount of cryptoassets on its platform, and (iii) it has established security around private key management to minimize the risk of theft or loss.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Group has non-cancellable contractual obligations to vendors of $97,028 due as follows: $65,172 in 2026, $26,426 in 2027 and $5,430 in 2028 and thereafter.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claims and lawsuits in the ordinary course of business, which include claims for substantial or unspecified damages. The Company is also subject to inquiries, investigations and proceedings by regulatory and other governmental agencies. The Company reviews its lawsuits, regulatory inquiries and other legal proceedings on an ongoing basis and provides disclosure and records provisions in accordance with IAS 37. The Company records a provision at management’s best estimate when it assesses it is probable that a loss has been incurred and the amount of the loss can be reasonably estimated. The Company monitors these matters for developments that would affect the likelihood of a loss and the accrued amount, if any, and adjusts the amount as appropriate. In the normal course of business, there is occasionally a regulatory or legal matter that may require amounts to be paid.</w:t>
      </w:r>
    </w:p>
    <w:p>
      <w:pPr>
        <w:spacing w:after="0" w:line="188"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2023, the Australian Securities and Investments Commission (“ASIC”) commenced proceedings against the Company’s subsidiary, eToro AUS Capital Ltd alleging that it contravened Australia’s law requiring financial institutions to adopt, implement and monitor a target market determination for complex products. ASIC is seeking, among other forms of relief, pecuniary penalties as the court determines to be appropriate. The proceedings are ongoing and the outcome could have adverse impacts on the Company’s financial position and reputation in Australia and potential for a class action lawsuit.</w:t>
      </w:r>
    </w:p>
    <w:p>
      <w:pPr>
        <w:spacing w:after="0" w:line="183"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eToro USA LLC entered into a settlement agreement with the SEC, a result of which eToro USA LLC limited its cryptoassets trading offering in the United States to spot trading of Bitcoin, Bitcoin Cash and Ether. Pursuant to the settlement, eToro USA LLC must (i) cease and desist from committing or causing any violations and future violations of Sections 15(a) and 17A of the Exchange Act in connection with the offering of trading in various cryptoassets that the SEC has alleged to constitute cryptoassets securities; (ii) pay a civil money penalty of $1.5 million to the SEC and (iii) if, after 180 days from the settlement date, there are cryptoassets, other than Bitcoin, Bitcoin Cash and Ethereum, in any omnibus wallet attributable to one or more users for which the ability to transfer the crypto assets is not available, to liquidate any such cryptoasset securities in a way not unacceptable to SEC and return the proceeds to the respective users. eToro timely paid the penalty and has fully complied with the undertaking. In addition, eToro had since expanded its cryptoassets offering, such expansion does not violate the undertaking in the order.</w:t>
      </w:r>
    </w:p>
    <w:p>
      <w:pPr>
        <w:spacing w:after="0" w:line="18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Company recorded a provision of $10,301 and $6,299, respectively, in respect of the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CONTINGENT LIABILITIES (Cont.)</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March 11, 2025, one of the Company’s subsidiaries, eToro USA Securities Inc., received a findings letter from the SEC examination staff in which the staff stated that its examination identified regulatory deficiencies related to the broker-dealer’s recordkeeping, customer account maintenance and net capital requirements.</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has responded to the findings and is seeking to address the identified issues, however, there can be no assurance that there will not be further actions taken against the Company including through proactive engagement with SEC staff. As the Company is in the preliminary stages of responding to the letter and addressing the issues, the Company cannot estimate what impact, if any, the examination may have on its income statement, financial position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HEDGE ACCOUNTING</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terms of the foreign currency forward contracts match the terms of the expected highly probable forecast transactions. As a result, no hedge ineffectiveness arises which requires recognition through profit or loss. The relevant amounts are provided below in the section describing financial risk management objectives and policies.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amounts retained in other comprehensive income as of December 31, 2025 are expected to affect profit or loss in 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Gain (loss) reclassified from other comprehensive income to profit or loss recognized in payroll expenses and tax expenses.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income related to hedge accounting, during the year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5280" w:type="dxa"/>
            <w:vAlign w:val="bottom"/>
          </w:tcPr>
          <w:p>
            <w:pPr>
              <w:spacing w:after="0"/>
              <w:rPr>
                <w:sz w:val="22"/>
                <w:szCs w:val="22"/>
                <w:color w:val="auto"/>
              </w:rPr>
            </w:pPr>
          </w:p>
        </w:tc>
        <w:tc>
          <w:tcPr>
            <w:tcW w:w="5860" w:type="dxa"/>
            <w:vAlign w:val="bottom"/>
            <w:gridSpan w:val="2"/>
          </w:tcPr>
          <w:p>
            <w:pPr>
              <w:jc w:val="center"/>
              <w:ind w:left="46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2"/>
                <w:szCs w:val="22"/>
                <w:color w:val="auto"/>
              </w:rPr>
            </w:pPr>
          </w:p>
        </w:tc>
      </w:tr>
      <w:tr>
        <w:trPr>
          <w:trHeight w:val="216"/>
        </w:trPr>
        <w:tc>
          <w:tcPr>
            <w:tcW w:w="52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5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arising on changes in fair value of hedging instruments</w:t>
            </w:r>
          </w:p>
        </w:tc>
        <w:tc>
          <w:tcPr>
            <w:tcW w:w="5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11,902</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related to gains recognized in other comprehensive income</w:t>
            </w:r>
          </w:p>
        </w:tc>
        <w:tc>
          <w:tcPr>
            <w:tcW w:w="5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reclassified to profit or loss</w:t>
            </w:r>
          </w:p>
        </w:tc>
        <w:tc>
          <w:tcPr>
            <w:tcW w:w="5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(7,842)</w:t>
            </w:r>
          </w:p>
        </w:tc>
      </w:tr>
      <w:tr>
        <w:trPr>
          <w:trHeight w:val="249"/>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related to amount reclassified to profit or loss</w:t>
            </w:r>
          </w:p>
        </w:tc>
        <w:tc>
          <w:tcPr>
            <w:tcW w:w="4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7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0"/>
                <w:szCs w:val="20"/>
                <w:color w:val="auto"/>
              </w:rPr>
            </w:pPr>
          </w:p>
        </w:tc>
      </w:tr>
      <w:tr>
        <w:trPr>
          <w:trHeight w:val="20"/>
        </w:trPr>
        <w:tc>
          <w:tcPr>
            <w:tcW w:w="1002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1124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income related to hedge accounting, during the year ended</w:t>
            </w:r>
          </w:p>
        </w:tc>
      </w:tr>
      <w:tr>
        <w:trPr>
          <w:trHeight w:val="234"/>
        </w:trPr>
        <w:tc>
          <w:tcPr>
            <w:tcW w:w="5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December 31, 2024:</w:t>
            </w:r>
          </w:p>
        </w:tc>
        <w:tc>
          <w:tcPr>
            <w:tcW w:w="4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5280" w:type="dxa"/>
            <w:vAlign w:val="bottom"/>
          </w:tcPr>
          <w:p>
            <w:pPr>
              <w:spacing w:after="0"/>
              <w:rPr>
                <w:sz w:val="22"/>
                <w:szCs w:val="22"/>
                <w:color w:val="auto"/>
              </w:rPr>
            </w:pPr>
          </w:p>
        </w:tc>
        <w:tc>
          <w:tcPr>
            <w:tcW w:w="5860" w:type="dxa"/>
            <w:vAlign w:val="bottom"/>
            <w:gridSpan w:val="2"/>
          </w:tcPr>
          <w:p>
            <w:pPr>
              <w:jc w:val="center"/>
              <w:ind w:left="46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r>
      <w:tr>
        <w:trPr>
          <w:trHeight w:val="216"/>
        </w:trPr>
        <w:tc>
          <w:tcPr>
            <w:tcW w:w="52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5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arising on changes in fair value of hedging instruments</w:t>
            </w:r>
          </w:p>
        </w:tc>
        <w:tc>
          <w:tcPr>
            <w:tcW w:w="5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2,715</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related to gains recognized in other comprehensive income</w:t>
            </w:r>
          </w:p>
        </w:tc>
        <w:tc>
          <w:tcPr>
            <w:tcW w:w="5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reclassified to profit or loss</w:t>
            </w:r>
          </w:p>
        </w:tc>
        <w:tc>
          <w:tcPr>
            <w:tcW w:w="5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related to amount reclassified to profit or loss</w:t>
            </w:r>
          </w:p>
        </w:tc>
        <w:tc>
          <w:tcPr>
            <w:tcW w:w="4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7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F-53</w:t>
            </w:r>
          </w:p>
        </w:tc>
      </w:tr>
    </w:tbl>
    <w:p>
      <w:pPr>
        <w:sectPr>
          <w:pgSz w:w="11900" w:h="16838" w:orient="portrait"/>
          <w:cols w:equalWidth="0" w:num="1">
            <w:col w:w="11240"/>
          </w:cols>
          <w:pgMar w:left="320" w:top="873"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HEDGE ACCOUNTING (Cont.)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impact of hedging instruments on the statement of financial position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the statement of</w:t>
            </w:r>
          </w:p>
        </w:tc>
      </w:tr>
      <w:tr>
        <w:trPr>
          <w:trHeight w:val="245"/>
        </w:trPr>
        <w:tc>
          <w:tcPr>
            <w:tcW w:w="4620" w:type="dxa"/>
            <w:vAlign w:val="bottom"/>
          </w:tcPr>
          <w:p>
            <w:pPr>
              <w:spacing w:after="0"/>
              <w:rPr>
                <w:sz w:val="21"/>
                <w:szCs w:val="21"/>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 position</w:t>
            </w: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 of 31 December, 2025</w:t>
            </w: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forwards contracts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6,183</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receivables and prepaid expenses</w:t>
            </w:r>
          </w:p>
        </w:tc>
      </w:tr>
      <w:tr>
        <w:trPr>
          <w:trHeight w:val="626"/>
        </w:trPr>
        <w:tc>
          <w:tcPr>
            <w:tcW w:w="46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the statement of</w:t>
            </w:r>
          </w:p>
        </w:tc>
      </w:tr>
      <w:tr>
        <w:trPr>
          <w:trHeight w:val="245"/>
        </w:trPr>
        <w:tc>
          <w:tcPr>
            <w:tcW w:w="4620" w:type="dxa"/>
            <w:vAlign w:val="bottom"/>
          </w:tcPr>
          <w:p>
            <w:pPr>
              <w:spacing w:after="0"/>
              <w:rPr>
                <w:sz w:val="21"/>
                <w:szCs w:val="21"/>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 position</w:t>
            </w: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 of 31 December, 2024</w:t>
            </w: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forwards contracts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2,246</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receivables and prepaid expenses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SELECTED STATEMENTS OF PROFIT OR LOSS DATA</w:t>
      </w:r>
    </w:p>
    <w:p>
      <w:pPr>
        <w:spacing w:after="0" w:line="225"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INTEREST INCOME FROM USERS: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users’ leveraged positions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130,764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95,119</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 users’ funds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86,150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62,120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197,178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157,239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CRYPTOASSETS: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sale of cryptoassets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12,937,698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12,126,307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3,415,631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staking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blockchain rewards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2,925</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8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12,975,078</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12,147,329</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3,431,274</w:t>
            </w:r>
          </w:p>
        </w:tc>
        <w:tc>
          <w:tcPr>
            <w:tcW w:w="8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right="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no single user accounted for 10% or more of the Group’s consolidated income. The Company’s management does not report or analyse income on a customer or country level as trading costs of revenues are managed in a centralized manner. Accordingly, the disclosure in respect of geographic information of income by customer or country is impracticable to provide as the necessary information is not available.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SELECTED STATEMENTS OF PROFIT OR LOSS DATA (Cont.)</w:t>
      </w:r>
    </w:p>
    <w:p>
      <w:pPr>
        <w:spacing w:after="0" w:line="225"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 FROM CRYPTOASSETS: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 from cryptoassets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12,899,647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11,802,307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3,295,907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distribution of staking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distribution of blockchain rewards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cryptoassets held,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12,932,009</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11,816,192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3,303,910</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91,640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communication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131,071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tc>
        <w:tc>
          <w:tcPr>
            <w:tcW w:w="2980" w:type="dxa"/>
            <w:vAlign w:val="bottom"/>
            <w:gridSpan w:val="5"/>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980" w:type="dxa"/>
            <w:vAlign w:val="bottom"/>
            <w:tcBorders>
              <w:bottom w:val="single" w:sz="8" w:color="auto"/>
            </w:tcBorders>
            <w:gridSpan w:val="5"/>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25,575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costs (*)</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176,148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147,090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116,135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communication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208,671</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178,365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user acquisition costs, advertising, and marketing programs.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SELECTED STATEMENTS OF PROFIT OR LOSS DATA (Cont.)</w:t>
      </w:r>
    </w:p>
    <w:p>
      <w:pPr>
        <w:spacing w:after="0" w:line="225"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ADMINISTRATIVE AND OPERATING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processing fees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43,317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communication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Tools and data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9,611</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228,004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246,495</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AND OTHER EXPENSE,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4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net</w:t>
            </w:r>
          </w:p>
        </w:tc>
        <w:tc>
          <w:tcPr>
            <w:tcW w:w="4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derivatives, net</w:t>
            </w:r>
          </w:p>
        </w:tc>
        <w:tc>
          <w:tcPr>
            <w:tcW w:w="4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4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3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r>
      <w:tr>
        <w:trPr>
          <w:trHeight w:val="27"/>
        </w:trPr>
        <w:tc>
          <w:tcPr>
            <w:tcW w:w="38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84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8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8"/>
                <w:szCs w:val="18"/>
                <w:color w:val="auto"/>
              </w:rPr>
              <w:t>F-56</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INVESTMENT IN SIGNIFICANT SUBSIDIARIES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consolidated financial statements include the following principal subsidiaries of eToro Group Ltd.: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400" w:type="dxa"/>
            <w:vAlign w:val="bottom"/>
          </w:tcPr>
          <w:p>
            <w:pPr>
              <w:spacing w:after="0"/>
              <w:rPr>
                <w:sz w:val="18"/>
                <w:szCs w:val="18"/>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interest</w:t>
            </w:r>
          </w:p>
        </w:tc>
        <w:tc>
          <w:tcPr>
            <w:tcW w:w="64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Nature of business</w:t>
            </w: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(Europe) Ltd.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Cyprus</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Permitted to engage in investment trading according to the Cyprus Investment Firm</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(“CIF”)  authorization  from  the  Cyprus  Securities  and  Exchange  Commission</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(“CySEC”).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(UK) Ltd.</w:t>
            </w: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to provide regulated financial products and services, by the Financial</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Conduct Authority (“FCA”).</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AUS Capital Ltd.</w:t>
            </w: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Licensed to deal in derivatives and foreign exchange contracts as agent and as principal</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the Australian Securities and Investments Commission (“ASIC”).</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Group Trading Ltd.</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BVI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trading company and a service provider to Group subsidiaries.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USA LLC</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USA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Registered Money Services Business (“MSB”) with the Financial Crimes Enforcement</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(“FinCEN”) and holds Money Transmitter Licenses (“MTLs”) in various U.S.</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USA Securities Inc.</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USA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Obtained a broker-dealer license from the Financial Industry Regulatory Authority</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w:t>
            </w:r>
          </w:p>
        </w:tc>
      </w:tr>
      <w:tr>
        <w:trPr>
          <w:trHeight w:val="257"/>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Ltd.</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Israel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 owner, research, development and support center of the Group.</w:t>
            </w:r>
          </w:p>
        </w:tc>
      </w:tr>
      <w:tr>
        <w:trPr>
          <w:trHeight w:val="257"/>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Money UK Ltd</w:t>
            </w: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by the Financial Conduct Authority to conduct electronic money service</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 under the Electronic Money Regulations 2011</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Money Malta Ltd</w:t>
            </w: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Malta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by Malta Financial Service Authority to transact the business of financial</w:t>
            </w:r>
          </w:p>
        </w:tc>
      </w:tr>
      <w:tr>
        <w:trPr>
          <w:trHeight w:val="255"/>
        </w:trPr>
        <w:tc>
          <w:tcPr>
            <w:tcW w:w="2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w:t>
            </w:r>
          </w:p>
        </w:tc>
      </w:tr>
      <w:tr>
        <w:trPr>
          <w:trHeight w:val="256"/>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(ME) Limited</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UAE</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eToro ME Limited received approval for a Financial Services Permission (FSP) from the</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 Regulatory Authority of the Abu Dhabi Global Market (ADGM) to</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 as a broker for securities, derivatives, and Virtual Assets (Crypto) in the UAE.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Seychelles Limited</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Seychelles</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Obtained a Broker-Dealer license by the Seychelles Financial Securities Authority,</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allowing it to offer securities, CFD products, Crypto currencies, and all Copy functions</w:t>
            </w:r>
          </w:p>
        </w:tc>
      </w:tr>
      <w:tr>
        <w:trPr>
          <w:trHeight w:val="255"/>
        </w:trPr>
        <w:tc>
          <w:tcPr>
            <w:tcW w:w="2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clients.</w:t>
            </w:r>
          </w:p>
        </w:tc>
      </w:tr>
      <w:tr>
        <w:trPr>
          <w:trHeight w:val="257"/>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eToro Singapore Pte. Ltd.</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licensed under the Capital Markets Services Licence (“CMSL”) with the Monetary</w:t>
            </w:r>
          </w:p>
        </w:tc>
      </w:tr>
      <w:tr>
        <w:trPr>
          <w:trHeight w:val="255"/>
        </w:trPr>
        <w:tc>
          <w:tcPr>
            <w:tcW w:w="2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Authority of Singapore (“MAS”)</w:t>
            </w:r>
          </w:p>
        </w:tc>
      </w:tr>
      <w:tr>
        <w:trPr>
          <w:trHeight w:val="257"/>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Spaceship Capital Limited</w:t>
            </w: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AUS</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and regulated by ASIC to be the promoter of a superannuation product, a</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responsible entity for registered managed investment schemes and to facilitate trading in</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market-listed equities</w:t>
            </w: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F-57</w:t>
            </w:r>
          </w:p>
        </w:tc>
      </w:tr>
    </w:tbl>
    <w:p>
      <w:pPr>
        <w:sectPr>
          <w:pgSz w:w="11900" w:h="16838" w:orient="portrait"/>
          <w:cols w:equalWidth="0" w:num="1">
            <w:col w:w="11240"/>
          </w:cols>
          <w:pgMar w:left="320" w:top="873"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BUSINESS COMBINATION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Spaceship</w:t>
      </w:r>
    </w:p>
    <w:p>
      <w:pPr>
        <w:spacing w:after="0" w:line="22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November 2024, the Group acquired 100% of Spaceship Capital Limited (“Spaceship”) from Spaceship Financial Services Pty Ltd (the “Seller”) (collectively, the “Transaction”). Spaceship operates a web-based financial investing platform that offers a diversified portfolio of investments, including Superannuation funds and professionally managed investment portfolios. The Group accounted for this transaction as a business combination under IFRS 3 – Business Combinations.</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consideration transferred to the Seller was composed of both cash, the Group’s common shares (including holdback shares) and contingent consideration.</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As part of the consideration, the Company issued 453,332 common shares which amounts to a total value of $12.2 million, and an additional 80,000 common shares will be issued as part of a holdback agreement with the Seller which is subject to the holdback provisions, valued at $2.2 million. The cash consideration amounted to $2.9 million. The agreement also includes a contingent consideration of up to 266,668 common shares, based on certain performance milestones related to assets under management (AUM) to be achieved two years after the acquisition. The contingent consideration is measured at fair value using a linear payoff simulation valuation model. As of the acquisition date, its fair value was $3.5 million. Changes in the fair value of the contingent consideration and hold back agreement are recorded in the consolidated statements of comprehensive income. AS of December 31, 2025, the fair value of the contingent consideration and hold back agreement is $8.99 million.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a result of the Transaction, the Group has incurred transaction costs of $282 thousand which were expensed as incurred).</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total consideration has been allocated to the assets acquired and liabilities assumed based on their fair values, with any excess purchase price allocated to goodwill. The fair value of the acquired assets and assumed liabilities as of the date of acquisition are based on, in part, a third-party valuation expert.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8"/>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22 - BUSINESS COMBINATION (Cont.)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The final purchase price allocation is as follows (In thousands):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8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37"/>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Holdback shares liability</w:t>
            </w:r>
          </w:p>
        </w:tc>
        <w:tc>
          <w:tcPr>
            <w:tcW w:w="2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net assets acquired (liabilities assumed)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 IP (8 year estimated useful life)</w:t>
            </w:r>
          </w:p>
        </w:tc>
        <w:tc>
          <w:tcPr>
            <w:tcW w:w="2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(5-8 year estimated useful life)</w:t>
            </w:r>
          </w:p>
        </w:tc>
        <w:tc>
          <w:tcPr>
            <w:tcW w:w="2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162"/>
        </w:trPr>
        <w:tc>
          <w:tcPr>
            <w:tcW w:w="8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40" w:type="dxa"/>
            <w:vAlign w:val="bottom"/>
            <w:gridSpan w:val="4"/>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8400" w:type="dxa"/>
            <w:vAlign w:val="bottom"/>
            <w:vMerge w:val="continue"/>
            <w:shd w:val="clear" w:color="auto" w:fill="CCEEFF"/>
          </w:tcPr>
          <w:p>
            <w:pPr>
              <w:spacing w:after="0"/>
              <w:rPr>
                <w:sz w:val="7"/>
                <w:szCs w:val="7"/>
                <w:color w:val="auto"/>
              </w:rPr>
            </w:pPr>
          </w:p>
        </w:tc>
        <w:tc>
          <w:tcPr>
            <w:tcW w:w="2840" w:type="dxa"/>
            <w:vAlign w:val="bottom"/>
            <w:gridSpan w:val="4"/>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(640</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assets acquired</w:t>
            </w:r>
          </w:p>
        </w:tc>
        <w:tc>
          <w:tcPr>
            <w:tcW w:w="15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9,557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Goodwill is expected to be non-deductible for tax purposes.</w:t>
            </w: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4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Spaceship’s revenues and results are insignificant in terms of the Group’s revenues and results. The results of Spaceship’s operations were consolidated in the Company’s consolidated financial statements commencing on the date of the acquisition and were immaterial to the Company’s results of operations for the year ended December 31, 2024. Pro forma information has not been provided since the impact of Spaceship’s financial results was immaterial to the revenue and net income (loss)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6" w:name="page207"/>
    <w:bookmarkEnd w:id="206"/>
    <w:p>
      <w:pPr>
        <w:ind w:left="9880"/>
        <w:spacing w:after="0"/>
        <w:rPr>
          <w:sz w:val="20"/>
          <w:szCs w:val="20"/>
          <w:color w:val="auto"/>
        </w:rPr>
      </w:pPr>
      <w:r>
        <w:rPr>
          <w:rFonts w:ascii="Times New Roman" w:cs="Times New Roman" w:eastAsia="Times New Roman" w:hAnsi="Times New Roman"/>
          <w:sz w:val="17"/>
          <w:szCs w:val="17"/>
          <w:b w:val="1"/>
          <w:bCs w:val="1"/>
          <w:color w:val="auto"/>
        </w:rPr>
        <w:t>eToro Group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EARNINGS PER SHARE (EPS)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Basic EPS is calculated by dividing the net income attributable to equity holders of the Company by the weighted average number of the Company’s common shares outstanding during the year. The holders of our Class A and Class B common shares (together, “common shares”) have identical liquidation and dividend rights but different voting rights. Accordingly, we present the earnings per share (EPS) for Class A and Class B common shares together.</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Diluted EPS is calculated by dividing the net income attributable to common shareholders of the parent by the weighted average number of common shares outstanding during the year plus the weighted average number of common shares that would be issued on conversion of all the dilutive potential common shares into common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reflects the income and share data used in the basic and diluted EPS calculations: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for basic and diluted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192,381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15,259</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7320" w:type="dxa"/>
            <w:vAlign w:val="bottom"/>
          </w:tcPr>
          <w:p>
            <w:pPr>
              <w:spacing w:after="0"/>
              <w:rPr>
                <w:sz w:val="24"/>
                <w:szCs w:val="24"/>
                <w:color w:val="auto"/>
              </w:rPr>
            </w:pPr>
          </w:p>
        </w:tc>
        <w:tc>
          <w:tcPr>
            <w:tcW w:w="29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for basic EPS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83,503,592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75,595,967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73,727,979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Effects of dilution from: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shared 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11,513,809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9,603,882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9,008,141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Advanced Investment Agreement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44,844</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112,328</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37,543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for diluted EPS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95,129,729</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85,297,910</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82,818,507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Instruments that could potentially dilute basic EPS in the future (options to employees), were not included in the calculation of diluted EPS if they are antidilutive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expect share and per share data, and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RELATED PARTIES</w:t>
      </w:r>
    </w:p>
    <w:p>
      <w:pPr>
        <w:spacing w:after="0" w:line="158"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directors, executive officers and principal owners, including immediate family members, are users of the Company’s platform. The Company grants its executive officers certain trading discounts in their eToro accounts, similar to those granted to all of our employees.</w:t>
      </w:r>
    </w:p>
    <w:p>
      <w:pPr>
        <w:spacing w:after="0" w:line="104"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iAngels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reported periods, the Company waived its right of first refusal with respect to the transfer of shares of the Company’s employees and certain shareholders to iAngels Technologies LP. or its affiliated entities (“iAngels”), which acted as a broker for the sale of the said shares to third parties. iAngels is owned by the spouse of the Company’s Chief Executive Officer.</w:t>
      </w:r>
    </w:p>
    <w:p>
      <w:pPr>
        <w:spacing w:after="0" w:line="108"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iAngels also participated as an investor in the pre-PIPE investment in an amount of $1,000, subject to the same terms and conditions as all other investors, as part of the exercise of their pre-emptive rights pursuant to the Company’s Investors Rights Agreement.</w:t>
      </w:r>
    </w:p>
    <w:p>
      <w:pPr>
        <w:spacing w:after="0" w:line="94"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see Note 15a for disclosure on the agreement with Liquidity, a related party.</w:t>
      </w:r>
    </w:p>
    <w:p>
      <w:pPr>
        <w:spacing w:after="0" w:line="15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AGREEMENTS WITH RELATED PARTIES: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party to a Services Agreement with Wix.com Ltd (“Wix”) for the provision of website holdings since 2021. Mr. Lior Shemesh serves as the CFO of Wix and, as of July 2025, also serves as a member of the Company's board of directors. During 2025, the Company paid Wix a total amount of approximately $23 thousands.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engaged with Base44, Inc. (together with any affiliated entity, “Base44”) for the provision of vibe coding services. Base44 is wholly owned by Wix, where Mr. Lior Shemesh serves as CFO, as detailed above. During 2025, the Company paid Base44 a total amount of $64 thousands.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party to a Services Agreement with Fireblocks Ltd. (collectively with Fireblocks Inc., “Fireblocks”) for the provision of crypto treasury and trading services and other custom projects. Mr. Santo Politi, a member of our board of directors, controls, directly or indirectly, 10% or more of the equity or voting power of Fireblocks. During 2025, the Company paid Fireblocks a total amount of $166 thousands.</w:t>
      </w:r>
    </w:p>
    <w:p>
      <w:pPr>
        <w:spacing w:after="0" w:line="10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KEY MANAGEMENT PERSONNEL OF THE GROUP RECOGNIZED AS AN EXPENSE</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 (*)</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8,849</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50,453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59,302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amounts owed to key management personnel are $24,802 and $19,235 as of December 31, 2025 and 2024 respectively.</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employee investment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SIGNIFICANT EVENTS AFTER THE REPORTING PERIOD</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On February 13, 2026, the Company’s Board of Directors authorized a share repurchase program of up to $100 million (the “Share Repurchase Program”).</w:t>
      </w:r>
    </w:p>
    <w:p>
      <w:pPr>
        <w:spacing w:after="0" w:line="94"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On February 19, 2026, the Company entered into an accelerated share repurchase transaction with Citibank N.A. to repurchase an aggregate of $50 million of Class A Common Shares under the Share Repurchase Program.</w:t>
      </w:r>
    </w:p>
    <w:p>
      <w:pPr>
        <w:spacing w:after="0" w:line="94"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From December 31, 2025, up to the date of signing the financial statements, the Company repurchased an additional $39.1 million through share buyback transactions in the open market.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eToro Group Ltd. had one class of securities registered under Section 12 of the Securities Exchange Act of 1934, as amended: our Class A common shares. References herein to “we,” “us,” “our” and the “Company” refer to eToro Group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summarizes the material rights of our shareholders under British Virgin Islands law, and the material provisions of our Amended and Restated Memorandum and Articles of Association (the “A&amp;R memorandum and articles”). We are a British Virgin Islands company and our affairs are governed by the British Virgin Islands Business Companies Act of 2004, as revised (the “Companies Act”) and, following the completion of this offering, will be governed by our A&amp;R memorandum and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850,000,000 Class A common shares, no par value, 75,000,000 Class B common shares, no par value and 75,000,000 preferred shares, no par value (together with the Class A common shares and the Class B common shares, the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shares authorized for issuance under our A&amp;R memorandum and articles may be issued in one or more series of shares by a resolution of our board from time to time. We may issue fractions of a share, and such fractional share will have the same corresponding fractional designations, powers, preferences, rights, qualifications, limitations and restrictions or a whole share of the same class or series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Shares and Class B Common Shares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All issued and outstanding shares of our Class A common shares and Class B common shares will be duly authorized, validly issued, fully paid and non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assessable. All authorized but unissued shares of our Class A common shares and Class B common shares will be available for issuance by our board without any further shareholder action, except as required by the listing standards of Nasdaq. The rights of our Class A common shares and Class B common shares will be identical, except with respect to voting, conversion and transferability.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Class A common shares are entitled to one vote per share on any matter that is submitted to a vote of our shareholders. Holders of our Class B common shares are entitled to 10 votes per share on any matter submitted to our shareholders. Holders of Class A common shares and Class B common shares vote together as a single class on all matters (including the election of directors) submitted to a vote of shareholders, unless otherwise required by BVI law. Our A&amp;R memorandum and articles will not provide for cumulative voting for the election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voting rights of our preferred shares shall be determined for each series of our preferred shares prior to authorizing the issuance of such series of our preferred shares. Therefore, our common shareholders’ voting rights may be affected by the grant of preferential voting rights to shareholders of a new class of shares which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outstanding Class B common share is convertible at any time at the option of the holder into one Class A common share. In addition, each Class B common share will automatically convert into one Class A common share upon any transfer, whether or not for value, except for certain permitted transfers, including certain transfers to family members, trusts solely for the benefit of the holder of Class B common shares or their family members, affiliates under common control with the holder of Class B common shares, and partnerships, corporations, limited liability companies, and affiliated entities where there is common voting and dispositive power between transferor and its family members and transferee and its family members, in each case as fully described in our A&amp;R memorandum and articles. In addition, each Class B common share held by a shareholder who is a natural person, or held by permitted transferees or permitted entities of such natural person (each as described in our A&amp;R memorandum and articles) will convert into such number of Class A common shares automatically upon the death or incapacity of such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9" w:name="page210"/>
    <w:bookmarkEnd w:id="209"/>
    <w:p>
      <w:pPr>
        <w:ind w:left="340"/>
        <w:spacing w:after="0"/>
        <w:rPr>
          <w:sz w:val="20"/>
          <w:szCs w:val="20"/>
          <w:color w:val="auto"/>
        </w:rPr>
      </w:pPr>
      <w:r>
        <w:rPr>
          <w:rFonts w:ascii="Times New Roman" w:cs="Times New Roman" w:eastAsia="Times New Roman" w:hAnsi="Times New Roman"/>
          <w:sz w:val="18"/>
          <w:szCs w:val="18"/>
          <w:color w:val="auto"/>
        </w:rPr>
        <w:t>Each outstanding Class B common share will convert automatically into one Class A common share at 5:00 p.m. New York City time on the earlier of</w:t>
      </w:r>
    </w:p>
    <w:p>
      <w:pPr>
        <w:spacing w:after="0" w:line="27" w:lineRule="exact"/>
        <w:rPr>
          <w:sz w:val="20"/>
          <w:szCs w:val="20"/>
          <w:color w:val="auto"/>
        </w:rPr>
      </w:pPr>
    </w:p>
    <w:p>
      <w:pPr>
        <w:jc w:val="both"/>
        <w:ind w:firstLine="8"/>
        <w:spacing w:after="0" w:line="253" w:lineRule="auto"/>
        <w:tabs>
          <w:tab w:leader="none" w:pos="2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affirmative vote or written consent of the holders of at least two-thirds (66 2⁄3%) of the outstanding Class B common shares, voting or acting as a separate class, (ii) such time on which the total number of issued and outstanding Class B common shares on a fully diluted basis (assuming for such purpose the conversion and exercise of any and all outstanding rights or securities that are convertible or exercisable into Class B common shares) represent less than fifteen percent (15%) of the total number of issued and outstanding Class B common shares on a fully diluted basis (calculated in the same manner) as of the closing date of our initial public offering, or (iii) the date that is 10 years from the closing of our initial public offering.</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converted into Class A common shares, the Class B common shares may not be reissued.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Liquidation rights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may authorize a dividend to be paid to the holders of our shares by adopting a resolution in favor of the dividend if our board is satisfied that we satisfy a solvency test, meaning that, on reasonable grounds, immediately after such distribution, the value of our assets will exceed our liabilities and we will be able to pay our debts as they fall due (“Solvency Test”) and otherwise as may be authorized, with distribution and liquidation rights, in proportion to their respective shareholdings. Dividends may be paid in money, shares or other property. Notice of any dividend that may have been declared will be given to each shareholder, and all dividends unclaimed for three years after having been declared may be forfeited for our benefit. No dividend will bear interest as against us and no dividend will be paid on our treasury shares.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may authorize a distribution by adopting a resolution in favor of the distribution if our board is satisfied that we satisfy the Solvency Test. In order that we may determine our shareholders entitled to receive payment of any distribution, our board may fix a record date, which record date will not precede the date upon which the resolution of our board fixing the record date is adopted, and which record date will not be more than 60 days prior to such action. If no record date is fixed, the record date for determining shareholders for any such purpose will be at the close of the calendar day on which our board adopts the resolution relating to the distribution.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our liquidation, dissolution, or winding-up, the holders of Class A common shares and Class B common shares will be entitled to share equally, identically, and ratably in all assets remaining after the payment of any liabilities, liquidation preferences and accrued or declared but unpaid dividends, if any, with respect to any outstanding preferred shares, unless a different treatment is approved by the affirmative vote of the holders of a majority of the outstanding shares of such affected class, voting separately as a class.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distribution and liquidation rights of our preferred shares shall be determined for each series of our preferred shares prior to authorizing the issuance of such series of our preferred shares. Therefore, our common shareholders’ liquidation right, as well as the right to receive dividends, may be affected by the grant of preferential dividend, distribution or liquidation preference rights to the holders of a class of shares with preferential rights which may be authorized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shares are not redeemable at the shareholders’ option under our A&amp;R memorandum and articles. Unless we are permitted by the Companies Act or any other provision in our A&amp;R memorandum and articles, we may redeem our shares only with (i) the consent of the shareholders whose shares are to be redeemed and (ii) a resolution of our board containing a statement that we satisfy the Solvency Test after such redemption; provided, however, that the consent from the shareholders is not needed for (a) compulsory redemption with respect to fractional shares held by shareholders in the circumstance of share division and (b) compulsory redemption, at the request of shareholders holding 90% of the votes of the outstanding shares entitled to vote, of the remaining issued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series of our preferred shares shall have such designations, powers, preferences, rights, qualifications, limitations and restrictions as specified by our board pursuant to resolutions approving the issuance of such series of preferred shares; provided, however, that prior to such issuance, our board shall determine the designations, powers, preferences, rights, qualifications, limitations and restrictions of each series of preferred shares, including, if applicable: (a) the designation and number of shares and the subscription price thereof, (b) the voting rights, (c) the dividends rights (d) whether such shares will be subject to redemption by us and the conditions of such redemption, (e) the rights to receive distribution upon liquidation and the terms thereof, (f) the rights to convert or exchange such series, (g) any limitations and restrictions upon the payment of dividends or the making of other distributions on, and upon the purchase, redemption or other acquisition by us of, such shares and (h) any conditions or restrictions upon the creation of indebtedness or upon the issue of any additional shares.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shall not be required to obtain any approval of the shareholders in respect of the issuance of our preferred shares and the related amendments, if any, to our A&amp;R memorandum and articles.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board may convene meetings of our shareholders at such times and in such manner and places within or outside the BVI as our board considers necessary or desirable; provided that at least one shareholders meeting must be held each year. In addition, upon the written request of shareholders holding at least the required percentage under the Companies Act of our voting rights entitled to vote in respect of the matter for which the meeting is requested, our board will convene a shareholders meeting. Any such request will contain the evidence reasonably satisfactory to our board, in its sole discretion, with respect to the identity of such requesting shareholder(s) (including the ownership of our Class A common shares and Class B common shares) and state the proposed purpose of the meeting. Our board will be entitled to determine the date, time and place, if any, of such requested shareholders meeting. Our board will give not less than seven days’ notice of a shareholders meeting to those shareholders whose names on the date the notice is given appear as shareholders in the transfer agent records of eToro and are entitled to vote at the meeting. Our board may fix as the record date for determining those shareholders that are entitled to vote at the meeting the date notice is given of the meeting, or such other date as may be specified in the notice, being a date not earlier than the date of the notice.</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shareholder may be represented at a shareholders meeting by a proxy who may speak and vote on behalf of the appointing shareholder. The instrument appointing a proxy must be produced at the place designated for the meeting before the time for holding the meeting at which the person named in such instrument proposes to vote. The notice of the meeting may specify an alternative or additional place or time at which the proxy must be presented. A proxy need not be a shareholder, and a shareholder may appoint one or more than one person to act as such shareholder’s proxy. On a poll, votes may be given in person or by proxy, and a shareholder entitled to more than one vote need not, if such shareholder votes, use all of such shareholder’s votes or cast all the votes such shareholder uses in the same way. The appointment of a proxy does not prevent a shareholder from attending and voting in person at the meeting or an adjournment or on a poll. The appointment of a proxy is (unless the contrary is stated in such proxy) valid for an adjournment of the meeting as well as for the meeting or meetings to which it relates and is valid for 12 months following the date of execution unless terminated earlier.</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resolution of shareholders is valid only if approved at a duly convened and constituted shareholders meeting by the affirmative vote of a majority of the votes cast. No action may be taken by shareholders except at a duly convened and constituted shareholders meeting, and no action may be taken by shareholders by written consent unless the action to be effected by written consent of the shareholders and the taking of such action by such written consent have expressly been approved in advance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 our shareholders by a plurality of the votes cast. This system of electing and removing directors may tend to discourage a third-party from making a tender offer or otherwise attempting to obtain control of us, because it generally makes it more difficult for shareholders to replace a majority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shareholders meeting is duly constituted if, at the commencement of the meeting, there are present in person or by proxy not less than one-third of the shares entitled to vote on resolutions of shareholders to be considered at the meeting, if the meeting was called by shareholders. If the meeting was called by our board, a shareholders meeting is duly constituted if, at the commencement of the meeting, there are present in person or by proxy not less than one-fourth of the shares entitled to vote on resolutions of shareholders to be considered at the meeting and if at the time of such shareholders meeting we are qualified to use the forms of a “foreign private issuer” under U.S. securities laws. A quorum may comprise a single shareholder or proxy, and such person may pass a resolution of shareholders and a certificate signed by such person accompanied where such person be a proxy by a copy of the proxy instrument will constitute a valid resolution of our shareholders.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within one hour from the time appointed for the meeting a quorum is not present, the meeting, if convened upon the requisition of our shareholders, will be dissolved; however, in any other case, it will stand adjourned to the next business day in the jurisdiction in which the meeting was to have been held at the same time and place or to such other time and place as our board may determine, and if at the adjourned meeting there are present within one hour from the time appointed for the meeting in person or by proxy not less than the original quorum required to vote on the matters to be considered by the meeting, those present will constitute a quorum but otherwise the meeting will be dissolved. Notice of the adjourned meeting need not be given if the date, time and place of such meeting are announced at the meeting at which the adjournment is taken.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A&amp;R memorandum and articles provide that all shareholder resolutions require the affirmative vote of a majority of the votes cast, unless a higher percentage is otherwise required by law or by the A&amp;R memorandum and articles. No action may be taken by our shareholders except at a duly convened and constituted meeting of shareholders, and no action may be taken by our shareholders by written consent unless the action to be effected by written consent of the shareholders and the taking of such action by such written consent have expressly been approved in advance by our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our A&amp;R memorandum and articles by the affirmative vote of at least a majority of the votes cast at a meeting of shareholders, provided that such amendment has been approved in advance by our board.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our A&amp;R memorandum and articles, the variation of the rights of any class of our shares requires the approval by a resolution of the general meeting of the holders of all shares as one class, and in addition (i) in the event that such variation of rights relates to the rights of a specific class in a manner different than other classes, a resolution is required to be approved at a separate class meeting of such class of shares and, (ii) any amendment to the rights of the Class B common shares requires at least two-thirds (66 2⁄3%) of the total voting power of the then issued and outstanding Class B common shares. Any amendment of our A&amp;R memorandum and articles with respect to the staggered board, director removal standard or the provision relating to the size of the board, will require the affirmative vote of at least two-thirds (66 2⁄3%) of the shares entitled to vote at a meeting of shareholders. Any amendment to the provisions in our A&amp;R memorandum and articles relating to our dual class structure—including, inter alia, the voting rights of our Class B common shares, dividends and distributions to each class and voluntary and automatic conversion procedures and mechanisms of our Class B common shares—will require both (a) a resolution adopted by a majority of the total share capital and (b) a resolution adopted by a separate class meeting of the Class B common shares by at least two-thirds (66 2⁄3%) of the total voting power of the then issued and outstanding Class B common shares. In no event shall any amendment to our A&amp;R memorandum and articles be made unless our board has approved the adoption of such amendment.</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A&amp;R memorandum and articles provide that the removal of any director from office requires the affirmative vote of at least two-thirds (66 2⁄3%) of the shares entitled to vote at a meeting for the election of directors.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engaged in a highly regulated business. Certain regulatory authorities require that a person may not acquire more than 9.99% of our issued share capital or voting power unless the acquiring shareholder has been granted a license by such regulatory authorities or such ownership is otherwise approved. Our A&amp;R memorandum and articles require that, in the event that we become aware that any person beneficially owns, together with its affiliates, more than 9.99% of our issued share capital or voting power, then all shares that exceed such 9.99% threshold (the “Excess Shares”) shall be deemed not to have any voting rights and/or any rights to receive distributions from us, and we may disregard any voting or distribution rights attached to such Excess Shares, until such time that we are satisfied, in our sole discretion, that all regulatory requirements applicable to the Excess Shares have been fully complied with and that all licenses and permits to which we or any of our subsidiaries are subject are not adversely affected as a result of such Excess Shares. The board may determine that Excess Shares shall cease to constitute Excess Shares subject to conditions or qualifications.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Companies Act, each shareholder is entitled, on giving written notice to us, to inspect (i) our A&amp;R memorandum and articles, (ii) register of members, (iii) register of directors and (iv) minutes of meetings and resolutions of members and of those classes of members of which such person is a member. However, our board may, if they are satisfied that it would be contrary to our interests to allow a member to inspect any document listed above (or any part thereof), refuse the member to inspect the document or limit the inspection of the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A&amp;R memorandum and articles enable us to increase or decrease our share capital. Any such changes are subject to the laws of BVI and must be approved by a resolution duly passed by our shareholders at a general meeting by voting on such change in the capital; provided that no decrease will reduce the number of shares of a class to a number less than the number of shares of such class then issued and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number of shares of such class reserved for issuance upon the exercise of outstanding options, rights or warrants or upon the conversion of any outstanding securities issued by us convertible into such class of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Act, a company’s articles of association may provide for indemnification of officers and directors to the maximum extent without any limitation; provided that no such provision is in contravention of the company’s articles of association nor that it is held by the BVI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our A&amp;R memorandum and articles, to the fullest extent permitted by law, the directors of our board will not be personally liable to us or any shareholder for any acts or omissions in the performance of their duties as directors. In addition, we will indemnify our directors or any person who is or was, at our request, serving as a director of, or in any other capacity is or was acting for, another body corporate or a partnership, joint venture, trust or other enterprise against expenses (including legal fees), judgments, fines and amounts paid in settlement actually and reasonably incurred by such persons in connection with legal, administrative or investigative proceedings to which they are a party or are threatened to be made a party by reason of their acting as our directors or agents; provided that, in order to qualify for indemnification, such persons must have acted honestly and in good faith and in the best interest of the company, and without reasonable cause to believe that their conduct was unlawful.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is against public policy and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A&amp;R memorandum and articles provide that, unless we consent in writing to the selection of an alternative forum, the courts of BVI will be the sole and exclusive forum for (i) any derivative action or proceeding brought on our behalf, (ii) any action asserting a claim of breach of a fiduciary duty owed by any director, officer or other employee, to us or our shareholders, (iii) any action asserting a claim arising pursuant to any provision of British Virgin Islands law or our A&amp;R memorandum and articles or (iv) any action asserting a claim against us governed by the internal affairs doctrine. This provision will not apply claims arising under the Securities Act, the Exchange Act or other claims for which there is a concurrent or exclusive federal jurisdiction.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or the Exchange Act or the rules and regulations thereunder. Failure to enforce the foregoing provisions would cause us irreparable harm and we shall be entitled to equitable relief, including injunctive relief and specific performance, to enforce the foregoing provisions. Any person or entity purchasing or otherwise acquiring any interest in our shares shall be deemed to have notice of and consented to the provisions of the forum selection clause in our A&amp;R memorandum and articles. The existence of any prior written consent by us to the selection of an alternative forum shall not act as a waiver of our ongoing consent right as set forth above with respect to any current or future actions or claims.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laws of BVI, two or more companies may merge or consolidate in accordance with Section 170 of the Companies Act. The information set forth below summarizes the relevant rules on mergers under the Companies Act.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this section,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While a director may vote on the plan even if he has a financial interest in the plan of merger of consolidation, in order for the resolution to be valid, the interest must have been disclosed to the board forthwith upon him becoming aware of such interest. The transaction will not be avoidable if the shareholders approve it.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of the constituent companies not otherwise entitled to vote on a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applicable plan of merger or consolidation irrespective of whether they are entitled to vote at the meeting or consent to the written resolution to approve the plan of merger or consolidation.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cash, debt obligations or other securities of the surviving or consolidated company, or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and authorized by a resolution of the shareholders, articles of merger or consolidation are executed by each company and filed with the Registrar of Corporate Affairs in the BVI.</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shareholder may dissent from a mandatory redemption of his shares, an arrangement (if permitted by the court), a merger (unless the shareholder was a shareholder of the surviving company prior to the merger and continues to hold the same or similar shares after the merger) and a consolidation. A shareholder properly exercising his dissent rights is entitled to payment of the fair value of their shares.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within 20 days following the date of the vote of the shareholders authorizing the merger or consolidation, give notice of this fact to each shareholder who gave written objection, and to each shareholder who did not receive notice of the meeting. Such shareholders then have 20 days following the date of the notice to give to the company their written election in the form specified by the Companies Act to dissent from the merger or consolidation; provided that in the case of a merger, the 20 days starts when the plan of merger is delivered to the shareholder.</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giving notice of the election to dissent, a shareholder ceases to have any rights of a shareholder except the right to be paid the fair value of the relevant shares. As such, the merger or consolidation may proceed in the ordinary course notwithstanding the dissent.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applicable merger or consolidation, the company must make a written offer to each dissenting shareholder to purchase his shares at a specified price that the company determines to be their fair value. The company and the shareholder then have 30 days to agree upon the price. If the company and the shareholder fail to agree on the price within the 30 days, then the company and the shareholder will each designate an appraiser and these two appraisers will designate a third appraiser. These three appraisers will fix the fair value of the shares as of the close of business on the day before the shareholders approved the transaction without taking into account any change in value as a result of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Companies Act does not currently prevent companies from adopting a wide range of defensive measures. Some provisions of our A&amp;R memorandum and articles may discourage, delay or prevent a change in control of us or management that our shareholders may consider favorable. Our A&amp;R memorandum and articles will contain the following provisions which may be regarded as defensive measures: (i) our dual class structure, (ii) the existence of a staggered board, (iii) the right of our board to issue preferred shares and to determine the voting, dividend, and other rights of preferred shares without shareholder approval, (iv) the ability of our directors, and not shareholders, to fill vacancies on our board in most circumstances and to determine the size of our board, (v) the requirement for two-thirds (66 2⁄3%) affirmative approval by shareholders in order to remove directors or adopt, amend or repeal certain provisions of our A&amp;R memorandum and articles, including with respect to the staggered board or director removal standard, and, for so long as any Class B common shares are outstanding the holders of at least two-thirds (66 2⁄3%) of the Class B common shares outstanding at the time of such vote, voting as a separate series, to adopt, amend or repeal certain provisions of our A&amp;R memorandum and articles, (vi) the prohibition on shareholders acting by written consent without prior board approval, (vii) the absence of cumulative rights in the election of directors, (viii) the prohibition on shareholders to approve an amendment to our A&amp;R memorandum and articles unless prior board approval has been obtained and (ix) limitations on shareholders owning more than 9.99% of our Class A common shares and Class B common shares, voting together as a single class, without the approval of applicable regulatory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shares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shares are listed on the Nasdaq Global Select Market under the symbol “ETOR.”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10712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7089140"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Facility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30 June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GROUP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LUXEMBOURG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L-360305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1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120" w:type="dxa"/>
            <w:vAlign w:val="bottom"/>
          </w:tcPr>
          <w:p>
            <w:pPr>
              <w:spacing w:after="0"/>
              <w:rPr>
                <w:sz w:val="20"/>
                <w:szCs w:val="20"/>
                <w:color w:val="auto"/>
              </w:rPr>
            </w:pPr>
          </w:p>
        </w:tc>
      </w:tr>
      <w:tr>
        <w:trPr>
          <w:trHeight w:val="453"/>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9180" w:type="dxa"/>
            <w:vAlign w:val="bottom"/>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1</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INTERPRETATION</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2</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 FACILITY</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Facility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Purpose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3</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UTILISATION</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Utilisation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4</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REPAYMENT, PREPAYMENT AND CANCELLATION</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5</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COSTS OF UTILISATION</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Periods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6</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ADDITIONAL PAYMENT OBLIGATIONS</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gross-up and indemnities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indemnities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7</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GUARANTEE</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Guarantee and indemnity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8</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REPRESENTATIONS, UNDERTAKINGS AND EVENTS OF DEFAULT</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Representations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undertakings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covenants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undertakings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9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9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SECTION 9</w:t>
            </w: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CHANGES TO PARTIES</w:t>
            </w: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to the Lenders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to the Obligors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6820" w:type="dxa"/>
            <w:vAlign w:val="bottom"/>
            <w:shd w:val="clear" w:color="auto" w:fill="CCEEFF"/>
          </w:tcPr>
          <w:p>
            <w:pPr>
              <w:jc w:val="right"/>
              <w:ind w:right="5010"/>
              <w:spacing w:after="0"/>
              <w:rPr>
                <w:sz w:val="20"/>
                <w:szCs w:val="20"/>
                <w:color w:val="auto"/>
              </w:rPr>
            </w:pPr>
            <w:r>
              <w:rPr>
                <w:rFonts w:ascii="Times New Roman" w:cs="Times New Roman" w:eastAsia="Times New Roman" w:hAnsi="Times New Roman"/>
                <w:sz w:val="18"/>
                <w:szCs w:val="18"/>
                <w:b w:val="1"/>
                <w:bCs w:val="1"/>
                <w:color w:val="auto"/>
              </w:rPr>
              <w:t>SECTION 10</w:t>
            </w:r>
          </w:p>
        </w:tc>
      </w:tr>
      <w:tr>
        <w:trPr>
          <w:trHeight w:val="216"/>
        </w:trPr>
        <w:tc>
          <w:tcPr>
            <w:tcW w:w="6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rPr>
              <w:t>THE FINANCE PARTIES</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25.</w:t>
            </w:r>
          </w:p>
        </w:tc>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Role of the Agent and the Arranger</w:t>
            </w:r>
          </w:p>
        </w:tc>
        <w:tc>
          <w:tcPr>
            <w:tcW w:w="68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26.</w:t>
            </w:r>
          </w:p>
        </w:tc>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Conduct of business by the Finance Parties</w:t>
            </w:r>
          </w:p>
        </w:tc>
        <w:tc>
          <w:tcPr>
            <w:tcW w:w="6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27.</w:t>
            </w:r>
          </w:p>
        </w:tc>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68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8"/>
              </w:rPr>
              <w:t>SECTION 11</w:t>
            </w:r>
          </w:p>
        </w:tc>
      </w:tr>
      <w:tr>
        <w:trPr>
          <w:trHeight w:val="216"/>
        </w:trPr>
        <w:tc>
          <w:tcPr>
            <w:tcW w:w="6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080" w:type="dxa"/>
            <w:vAlign w:val="bottom"/>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8"/>
              </w:rPr>
              <w:t>ADMINISTRATION</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28.</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 mechanics</w:t>
            </w:r>
          </w:p>
        </w:tc>
        <w:tc>
          <w:tcPr>
            <w:tcW w:w="7080" w:type="dxa"/>
            <w:vAlign w:val="bottom"/>
            <w:shd w:val="clear" w:color="auto" w:fill="CCEEFF"/>
          </w:tcPr>
          <w:p>
            <w:pPr>
              <w:jc w:val="center"/>
              <w:ind w:left="5850"/>
              <w:spacing w:after="0"/>
              <w:rPr>
                <w:sz w:val="20"/>
                <w:szCs w:val="20"/>
                <w:color w:val="auto"/>
              </w:rPr>
            </w:pPr>
            <w:r>
              <w:rPr>
                <w:rFonts w:ascii="Times New Roman" w:cs="Times New Roman" w:eastAsia="Times New Roman" w:hAnsi="Times New Roman"/>
                <w:sz w:val="18"/>
                <w:szCs w:val="18"/>
                <w:color w:val="auto"/>
                <w:w w:val="99"/>
              </w:rPr>
              <w:t>89</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29.</w:t>
            </w:r>
          </w:p>
        </w:tc>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Set-off</w:t>
            </w:r>
          </w:p>
        </w:tc>
        <w:tc>
          <w:tcPr>
            <w:tcW w:w="7080" w:type="dxa"/>
            <w:vAlign w:val="bottom"/>
          </w:tcPr>
          <w:p>
            <w:pPr>
              <w:jc w:val="center"/>
              <w:ind w:left="5850"/>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30.</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Notices</w:t>
            </w:r>
          </w:p>
        </w:tc>
        <w:tc>
          <w:tcPr>
            <w:tcW w:w="7080" w:type="dxa"/>
            <w:vAlign w:val="bottom"/>
            <w:shd w:val="clear" w:color="auto" w:fill="CCEEFF"/>
          </w:tcPr>
          <w:p>
            <w:pPr>
              <w:jc w:val="center"/>
              <w:ind w:left="5850"/>
              <w:spacing w:after="0"/>
              <w:rPr>
                <w:sz w:val="20"/>
                <w:szCs w:val="20"/>
                <w:color w:val="auto"/>
              </w:rPr>
            </w:pPr>
            <w:r>
              <w:rPr>
                <w:rFonts w:ascii="Times New Roman" w:cs="Times New Roman" w:eastAsia="Times New Roman" w:hAnsi="Times New Roman"/>
                <w:sz w:val="18"/>
                <w:szCs w:val="18"/>
                <w:color w:val="auto"/>
                <w:w w:val="99"/>
              </w:rPr>
              <w:t>93</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31.</w:t>
            </w:r>
          </w:p>
        </w:tc>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7080" w:type="dxa"/>
            <w:vAlign w:val="bottom"/>
          </w:tcPr>
          <w:p>
            <w:pPr>
              <w:jc w:val="center"/>
              <w:ind w:left="58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32.</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Partial invalidity</w:t>
            </w:r>
          </w:p>
        </w:tc>
        <w:tc>
          <w:tcPr>
            <w:tcW w:w="7080" w:type="dxa"/>
            <w:vAlign w:val="bottom"/>
            <w:shd w:val="clear" w:color="auto" w:fill="CCEEFF"/>
          </w:tcPr>
          <w:p>
            <w:pPr>
              <w:jc w:val="center"/>
              <w:ind w:left="58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33.</w:t>
            </w:r>
          </w:p>
        </w:tc>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Remedies and waivers</w:t>
            </w:r>
          </w:p>
        </w:tc>
        <w:tc>
          <w:tcPr>
            <w:tcW w:w="7080" w:type="dxa"/>
            <w:vAlign w:val="bottom"/>
          </w:tcPr>
          <w:p>
            <w:pPr>
              <w:jc w:val="center"/>
              <w:ind w:left="58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34.</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Amendments and waivers</w:t>
            </w:r>
          </w:p>
        </w:tc>
        <w:tc>
          <w:tcPr>
            <w:tcW w:w="7080" w:type="dxa"/>
            <w:vAlign w:val="bottom"/>
            <w:shd w:val="clear" w:color="auto" w:fill="CCEEFF"/>
          </w:tcPr>
          <w:p>
            <w:pPr>
              <w:jc w:val="center"/>
              <w:ind w:left="585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35.</w:t>
            </w:r>
          </w:p>
        </w:tc>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708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36.</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Confidentiality of Funding Rates</w:t>
            </w:r>
          </w:p>
        </w:tc>
        <w:tc>
          <w:tcPr>
            <w:tcW w:w="7080" w:type="dxa"/>
            <w:vAlign w:val="bottom"/>
            <w:shd w:val="clear" w:color="auto" w:fill="CCEEFF"/>
          </w:tcPr>
          <w:p>
            <w:pPr>
              <w:jc w:val="center"/>
              <w:ind w:left="587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37.</w:t>
            </w:r>
          </w:p>
        </w:tc>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Bail-In</w:t>
            </w:r>
          </w:p>
        </w:tc>
        <w:tc>
          <w:tcPr>
            <w:tcW w:w="7080" w:type="dxa"/>
            <w:vAlign w:val="bottom"/>
          </w:tcPr>
          <w:p>
            <w:pPr>
              <w:jc w:val="center"/>
              <w:ind w:left="587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7"/>
              </w:rPr>
              <w:t>38.</w:t>
            </w:r>
          </w:p>
        </w:tc>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Counterparts</w:t>
            </w:r>
          </w:p>
        </w:tc>
        <w:tc>
          <w:tcPr>
            <w:tcW w:w="7080" w:type="dxa"/>
            <w:vAlign w:val="bottom"/>
            <w:shd w:val="clear" w:color="auto" w:fill="CCEEFF"/>
          </w:tcPr>
          <w:p>
            <w:pPr>
              <w:jc w:val="center"/>
              <w:ind w:left="587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w:t>
            </w:r>
          </w:p>
        </w:tc>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Enforcement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1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320" w:type="dxa"/>
            <w:vAlign w:val="bottom"/>
          </w:tcPr>
          <w:p>
            <w:pPr>
              <w:spacing w:after="0"/>
              <w:rPr>
                <w:sz w:val="24"/>
                <w:szCs w:val="24"/>
                <w:color w:val="auto"/>
              </w:rPr>
            </w:pPr>
          </w:p>
        </w:tc>
        <w:tc>
          <w:tcPr>
            <w:tcW w:w="86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THE SCHEDULES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241"/>
        </w:trPr>
        <w:tc>
          <w:tcPr>
            <w:tcW w:w="1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w:t>
            </w: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Original Lenders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3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precedent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3</w:t>
            </w: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Utilisation Request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4</w:t>
            </w:r>
          </w:p>
        </w:tc>
        <w:tc>
          <w:tcPr>
            <w:tcW w:w="3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Transfer Certificate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5</w:t>
            </w: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of Assignment Agreement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6</w:t>
            </w:r>
          </w:p>
        </w:tc>
        <w:tc>
          <w:tcPr>
            <w:tcW w:w="3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Accession Letter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7</w:t>
            </w: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of Resignation Letter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8</w:t>
            </w:r>
          </w:p>
        </w:tc>
        <w:tc>
          <w:tcPr>
            <w:tcW w:w="3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9</w:t>
            </w:r>
          </w:p>
        </w:tc>
        <w:tc>
          <w:tcPr>
            <w:tcW w:w="320" w:type="dxa"/>
            <w:vAlign w:val="bottom"/>
            <w:shd w:val="clear" w:color="auto" w:fill="CCEEFF"/>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Timetables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Increase Confirmation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11</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Reference Rate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THIS AGREEMENT is dated 30 June 2025 and made between:</w:t>
      </w:r>
    </w:p>
    <w:p>
      <w:pPr>
        <w:spacing w:after="0" w:line="221" w:lineRule="exact"/>
        <w:rPr>
          <w:sz w:val="20"/>
          <w:szCs w:val="20"/>
          <w:color w:val="auto"/>
        </w:rPr>
      </w:pPr>
    </w:p>
    <w:p>
      <w:pPr>
        <w:ind w:left="1300" w:hanging="644"/>
        <w:spacing w:after="0" w:line="286"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GROUP LTD., a business company incorporated in the British Virgin Islands, with company number 1373068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Original Borrower</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LTD, a company incorporated under the laws of Israel, with registration number 51390834-3, as original guarantor (together with the Company the “</w:t>
      </w:r>
      <w:r>
        <w:rPr>
          <w:rFonts w:ascii="Times New Roman" w:cs="Times New Roman" w:eastAsia="Times New Roman" w:hAnsi="Times New Roman"/>
          <w:sz w:val="18"/>
          <w:szCs w:val="18"/>
          <w:b w:val="1"/>
          <w:bCs w:val="1"/>
          <w:color w:val="auto"/>
        </w:rPr>
        <w:t>Original Guarantors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 LONDON BRANCH, GOLDMAN SACHS INTERNATIONAL, SUMITOMO MITSUI BANKING CORPORATION, LONDON BRANCH, BANK HAPOALIM B.M., DEUTSCHE BANK LUXEMBOURG S.A. and UBS AG LONDON BRANCH as mandated lead arrangers and BANK LEUMI LE-ISRAEL B.M. and MIZUHO BANK, LTD. as lead arrangers (whether acting individually or together the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INSTITUTIONS listed in Schedule 1 (</w:t>
      </w:r>
      <w:r>
        <w:rPr>
          <w:rFonts w:ascii="Times New Roman" w:cs="Times New Roman" w:eastAsia="Times New Roman" w:hAnsi="Times New Roman"/>
          <w:sz w:val="18"/>
          <w:szCs w:val="18"/>
          <w:i w:val="1"/>
          <w:iCs w:val="1"/>
          <w:color w:val="auto"/>
        </w:rPr>
        <w:t>The Original Lenders</w:t>
      </w:r>
      <w:r>
        <w:rPr>
          <w:rFonts w:ascii="Times New Roman" w:cs="Times New Roman" w:eastAsia="Times New Roman" w:hAnsi="Times New Roman"/>
          <w:sz w:val="18"/>
          <w:szCs w:val="18"/>
          <w:color w:val="auto"/>
        </w:rPr>
        <w:t>) as lenders (the “</w:t>
      </w:r>
      <w:r>
        <w:rPr>
          <w:rFonts w:ascii="Times New Roman" w:cs="Times New Roman" w:eastAsia="Times New Roman" w:hAnsi="Times New Roman"/>
          <w:sz w:val="18"/>
          <w:szCs w:val="18"/>
          <w:b w:val="1"/>
          <w:bCs w:val="1"/>
          <w:color w:val="auto"/>
        </w:rPr>
        <w:t>Original Lenders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BANK LUXEMBOURG S.A. as agent of the other Finance Parties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IT IS AGREED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means a bank or financial institution which has a rating for its long-term unsecured and non-credit enhanced debt obligations of BBB+ or higher by Standard &amp; Poor’s Rating Services or Fitch Ratings Ltd or Baa1 or higher by Moody’s Investors Services Limited or a comparable rating from an internationally recognised credit rating agency.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Letter</w:t>
      </w:r>
      <w:r>
        <w:rPr>
          <w:rFonts w:ascii="Times New Roman" w:cs="Times New Roman" w:eastAsia="Times New Roman" w:hAnsi="Times New Roman"/>
          <w:sz w:val="18"/>
          <w:szCs w:val="18"/>
          <w:color w:val="auto"/>
        </w:rPr>
        <w:t>” means a document substantially in the form set out in Schedule 6 (</w:t>
      </w:r>
      <w:r>
        <w:rPr>
          <w:rFonts w:ascii="Times New Roman" w:cs="Times New Roman" w:eastAsia="Times New Roman" w:hAnsi="Times New Roman"/>
          <w:sz w:val="18"/>
          <w:szCs w:val="18"/>
          <w:i w:val="1"/>
          <w:iCs w:val="1"/>
          <w:color w:val="auto"/>
        </w:rPr>
        <w:t>Form of Accession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means a company which becomes an Additional Borrower in accordance with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Business Day</w:t>
      </w:r>
      <w:r>
        <w:rPr>
          <w:rFonts w:ascii="Times New Roman" w:cs="Times New Roman" w:eastAsia="Times New Roman" w:hAnsi="Times New Roman"/>
          <w:sz w:val="18"/>
          <w:szCs w:val="18"/>
          <w:color w:val="auto"/>
        </w:rPr>
        <w:t>” means any day specified as such in the applicable Reference Rate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Guarantor</w:t>
      </w:r>
      <w:r>
        <w:rPr>
          <w:rFonts w:ascii="Times New Roman" w:cs="Times New Roman" w:eastAsia="Times New Roman" w:hAnsi="Times New Roman"/>
          <w:sz w:val="18"/>
          <w:szCs w:val="18"/>
          <w:color w:val="auto"/>
        </w:rPr>
        <w:t>” means a company which becomes an Additional Guarantor in accordance with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Obligor</w:t>
      </w:r>
      <w:r>
        <w:rPr>
          <w:rFonts w:ascii="Times New Roman" w:cs="Times New Roman" w:eastAsia="Times New Roman" w:hAnsi="Times New Roman"/>
          <w:sz w:val="18"/>
          <w:szCs w:val="18"/>
          <w:color w:val="auto"/>
        </w:rPr>
        <w:t>” means an Additional Borrower or an Additional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has the meaning given to that term in Clause 20.1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 Subsidiary of that person or a Holding Company of that person or any other Subsidiary of that Holding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Terrorism Act 2000, the Proceeds of Crime Act 2002 and the Money Laundering, Terrorist Financing and Transfer of Funds (Information on the Payer) Regulations 2017;</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Executive Order No. 13224 on Blocking Property and Prohibiting Transactions with Persons who Commit, Threaten to Commit, or Support Terrorism, the Bank Secrecy Act, the Money Laundering Control Act of 1986, and the Uniting and Strengthening America by Providing Appropriate Tools Required to Intercept and Obstruct Terrorism Act of 2001 (the USA Patriot Act); or</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or similar law or regulation relating to the detection, investigation, or prevention of money laundering or terrorist financing.</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an agreement substantially in the form set out in Schedule 5 (</w:t>
      </w:r>
      <w:r>
        <w:rPr>
          <w:rFonts w:ascii="Times New Roman" w:cs="Times New Roman" w:eastAsia="Times New Roman" w:hAnsi="Times New Roman"/>
          <w:sz w:val="18"/>
          <w:szCs w:val="18"/>
          <w:i w:val="1"/>
          <w:iCs w:val="1"/>
          <w:color w:val="auto"/>
        </w:rPr>
        <w:t>Form of Assignment Agreement</w:t>
      </w:r>
      <w:r>
        <w:rPr>
          <w:rFonts w:ascii="Times New Roman" w:cs="Times New Roman" w:eastAsia="Times New Roman" w:hAnsi="Times New Roman"/>
          <w:sz w:val="18"/>
          <w:szCs w:val="18"/>
          <w:color w:val="auto"/>
        </w:rPr>
        <w:t>) or any other form agreed between the relevant assignor and assignee.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from and including the date of this Agreement to and including the date which is one month before the Termination Date.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a Lender’s Commitment minus:</w:t>
      </w:r>
    </w:p>
    <w:p>
      <w:pPr>
        <w:spacing w:after="0" w:line="229" w:lineRule="exact"/>
        <w:rPr>
          <w:sz w:val="20"/>
          <w:szCs w:val="20"/>
          <w:color w:val="auto"/>
        </w:rPr>
      </w:pPr>
    </w:p>
    <w:p>
      <w:pPr>
        <w:ind w:left="644" w:hanging="644"/>
        <w:spacing w:after="0"/>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its participation in any outstanding Loans; and</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the amount of its participation in any Loans that are due to be made on or before the proposed Utilisation Date, other than, in relation to any proposed Utilisation, that Lender’s participation in any Loans that are due to be repaid or prepaid on or before the proposed Utilisation Date.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the aggregate for the time being of each Lender’s Available Commitment.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Blocking Law</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Council Regulation (EC) No 2271/1996 of 22 November 1996 (or any law or regulation implementing such Regulation in any member state of the European Union);</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Council Regulation (EC) No 2271/1996 of 22 November 1996, as it forms part of domestic law of the United Kingdom; or</w:t>
      </w:r>
    </w:p>
    <w:p>
      <w:pPr>
        <w:spacing w:after="0" w:line="15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an Original Borrower or an Additional Borrower, unless it has ceased to be a Borrower in accordance with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Costs</w:t>
      </w:r>
      <w:r>
        <w:rPr>
          <w:rFonts w:ascii="Times New Roman" w:cs="Times New Roman" w:eastAsia="Times New Roman" w:hAnsi="Times New Roman"/>
          <w:sz w:val="18"/>
          <w:szCs w:val="18"/>
          <w:color w:val="auto"/>
        </w:rPr>
        <w:t>” means any amount specified as such in the applicable Reference Rate Terms.</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London, Luxembourg, Road Town and Tel Aviv and:</w:t>
      </w:r>
    </w:p>
    <w:p>
      <w:pPr>
        <w:spacing w:after="0" w:line="159" w:lineRule="exact"/>
        <w:rPr>
          <w:sz w:val="20"/>
          <w:szCs w:val="20"/>
          <w:color w:val="auto"/>
        </w:rPr>
      </w:pPr>
    </w:p>
    <w:p>
      <w:pPr>
        <w:ind w:left="644" w:hanging="644"/>
        <w:spacing w:after="0"/>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a currency) the principal financial centre of the country of that currency; and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fixing of an interest rate in relation to a Loan) which is an Additional Business Day relating to that Loan or Unpaid Sum.</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0" w:name="page221"/>
    <w:bookmarkEnd w:id="220"/>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BVI</w:t>
      </w:r>
      <w:r>
        <w:rPr>
          <w:rFonts w:ascii="Times New Roman" w:cs="Times New Roman" w:eastAsia="Times New Roman" w:hAnsi="Times New Roman"/>
          <w:sz w:val="18"/>
          <w:szCs w:val="18"/>
          <w:color w:val="auto"/>
        </w:rPr>
        <w:t>” means the British Virgin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BVI Companies Act</w:t>
      </w:r>
      <w:r>
        <w:rPr>
          <w:rFonts w:ascii="Times New Roman" w:cs="Times New Roman" w:eastAsia="Times New Roman" w:hAnsi="Times New Roman"/>
          <w:sz w:val="18"/>
          <w:szCs w:val="18"/>
          <w:color w:val="auto"/>
        </w:rPr>
        <w:t>” means the BVI Business Companies Act, 2004 (as revised) of the BVI.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BVI Corporate Records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of Change of Name (if 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Association;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Members;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Directors;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Register of Charges; and</w:t>
      </w:r>
    </w:p>
    <w:p>
      <w:pPr>
        <w:spacing w:after="0" w:line="225" w:lineRule="exact"/>
        <w:rPr>
          <w:rFonts w:ascii="Times New Roman" w:cs="Times New Roman" w:eastAsia="Times New Roman" w:hAnsi="Times New Roman"/>
          <w:sz w:val="18"/>
          <w:szCs w:val="18"/>
          <w:color w:val="auto"/>
        </w:rPr>
      </w:pPr>
    </w:p>
    <w:p>
      <w:pPr>
        <w:ind w:left="4" w:right="2060" w:hanging="4"/>
        <w:spacing w:after="0" w:line="498" w:lineRule="auto"/>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Good Standing (issued from time to time, by the Registrar of Corporate Affairs in the BVI). “</w:t>
      </w:r>
      <w:r>
        <w:rPr>
          <w:rFonts w:ascii="Times New Roman" w:cs="Times New Roman" w:eastAsia="Times New Roman" w:hAnsi="Times New Roman"/>
          <w:sz w:val="18"/>
          <w:szCs w:val="18"/>
          <w:b w:val="1"/>
          <w:bCs w:val="1"/>
          <w:color w:val="auto"/>
        </w:rPr>
        <w:t>BVI Insolvency Act</w:t>
      </w:r>
      <w:r>
        <w:rPr>
          <w:rFonts w:ascii="Times New Roman" w:cs="Times New Roman" w:eastAsia="Times New Roman" w:hAnsi="Times New Roman"/>
          <w:sz w:val="18"/>
          <w:szCs w:val="18"/>
          <w:color w:val="auto"/>
        </w:rPr>
        <w:t>” means the Insolvency Act, 2003 (as amended) of the BVI.</w:t>
      </w:r>
    </w:p>
    <w:p>
      <w:pPr>
        <w:spacing w:after="0" w:line="1" w:lineRule="exact"/>
        <w:rPr>
          <w:rFonts w:ascii="Times New Roman" w:cs="Times New Roman" w:eastAsia="Times New Roman" w:hAnsi="Times New Roman"/>
          <w:sz w:val="18"/>
          <w:szCs w:val="18"/>
          <w:color w:val="auto"/>
        </w:rPr>
      </w:pPr>
    </w:p>
    <w:p>
      <w:pPr>
        <w:ind w:left="4" w:right="14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Cure</w:t>
      </w:r>
      <w:r>
        <w:rPr>
          <w:rFonts w:ascii="Times New Roman" w:cs="Times New Roman" w:eastAsia="Times New Roman" w:hAnsi="Times New Roman"/>
          <w:sz w:val="18"/>
          <w:szCs w:val="18"/>
          <w:color w:val="auto"/>
        </w:rPr>
        <w:t>” means the prepayment or repayment by a member of the Group of Borrowings using cash in hand or at the bank. “</w:t>
      </w:r>
      <w:r>
        <w:rPr>
          <w:rFonts w:ascii="Times New Roman" w:cs="Times New Roman" w:eastAsia="Times New Roman" w:hAnsi="Times New Roman"/>
          <w:sz w:val="18"/>
          <w:szCs w:val="18"/>
          <w:b w:val="1"/>
          <w:bCs w:val="1"/>
          <w:color w:val="auto"/>
        </w:rPr>
        <w:t>Cash Cure Amount</w:t>
      </w:r>
      <w:r>
        <w:rPr>
          <w:rFonts w:ascii="Times New Roman" w:cs="Times New Roman" w:eastAsia="Times New Roman" w:hAnsi="Times New Roman"/>
          <w:sz w:val="18"/>
          <w:szCs w:val="18"/>
          <w:color w:val="auto"/>
        </w:rPr>
        <w:t>” means the amount by which Borrowings are actually reduced as a result of a Cash Cure.</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has the meaning given to that term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has the meaning given to that term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amount set opposite its name under the heading “Commitment” in Schedule 1 (The Original Lenders) and the amount of any other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1" w:name="page222"/>
    <w:bookmarkEnd w:id="221"/>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substantially in the form set out in Schedule 8 (</w:t>
      </w:r>
      <w:r>
        <w:rPr>
          <w:rFonts w:ascii="Times New Roman" w:cs="Times New Roman" w:eastAsia="Times New Roman" w:hAnsi="Times New Roman"/>
          <w:sz w:val="18"/>
          <w:szCs w:val="18"/>
          <w:i w:val="1"/>
          <w:iCs w:val="1"/>
          <w:color w:val="auto"/>
        </w:rPr>
        <w:t>Form of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Company, any Obligor, the Group, any member of the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175" w:lineRule="exact"/>
        <w:rPr>
          <w:sz w:val="20"/>
          <w:szCs w:val="20"/>
          <w:color w:val="auto"/>
        </w:rPr>
      </w:pPr>
    </w:p>
    <w:p>
      <w:pPr>
        <w:ind w:left="644" w:hanging="644"/>
        <w:spacing w:after="0"/>
        <w:tabs>
          <w:tab w:leader="none" w:pos="6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Group or any of its advisers;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w:t>
      </w:r>
    </w:p>
    <w:p>
      <w:pPr>
        <w:spacing w:after="0" w:line="22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35 (Confidential Information);</w:t>
      </w:r>
    </w:p>
    <w:p>
      <w:pPr>
        <w:spacing w:after="0" w:line="161"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member of the Group or any of its advisers;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w:t>
      </w:r>
    </w:p>
    <w:p>
      <w:pPr>
        <w:spacing w:after="0" w:line="27" w:lineRule="exact"/>
        <w:rPr>
          <w:rFonts w:ascii="Times New Roman" w:cs="Times New Roman" w:eastAsia="Times New Roman" w:hAnsi="Times New Roman"/>
          <w:sz w:val="18"/>
          <w:szCs w:val="18"/>
          <w:color w:val="auto"/>
        </w:rPr>
      </w:pPr>
    </w:p>
    <w:p>
      <w:pPr>
        <w:jc w:val="both"/>
        <w:ind w:left="19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86" w:lineRule="exact"/>
        <w:rPr>
          <w:sz w:val="20"/>
          <w:szCs w:val="20"/>
          <w:color w:val="auto"/>
        </w:rPr>
      </w:pPr>
    </w:p>
    <w:p>
      <w:pPr>
        <w:ind w:left="1304" w:hanging="656"/>
        <w:spacing w:after="0"/>
        <w:tabs>
          <w:tab w:leader="none" w:pos="130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or in any other form agreed between the Company and the Agent.</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22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Sanctions Restricted Person,</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2" w:name="page223"/>
    <w:bookmarkEnd w:id="222"/>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225" w:lineRule="exact"/>
        <w:rPr>
          <w:sz w:val="20"/>
          <w:szCs w:val="20"/>
          <w:color w:val="auto"/>
        </w:rPr>
      </w:pPr>
    </w:p>
    <w:p>
      <w:pPr>
        <w:ind w:left="1304" w:hanging="656"/>
        <w:spacing w:after="0"/>
        <w:tabs>
          <w:tab w:leader="none" w:pos="130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 payment is made within five Business Days of its due date; or</w:t>
      </w:r>
    </w:p>
    <w:p>
      <w:pPr>
        <w:spacing w:after="0" w:line="225" w:lineRule="exact"/>
        <w:rPr>
          <w:rFonts w:ascii="Times New Roman" w:cs="Times New Roman" w:eastAsia="Times New Roman" w:hAnsi="Times New Roman"/>
          <w:sz w:val="18"/>
          <w:szCs w:val="18"/>
          <w:color w:val="auto"/>
        </w:rPr>
      </w:pPr>
    </w:p>
    <w:p>
      <w:pPr>
        <w:ind w:left="4" w:right="1740" w:firstLine="644"/>
        <w:spacing w:after="0" w:line="500" w:lineRule="auto"/>
        <w:tabs>
          <w:tab w:leader="none" w:pos="13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 “</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162" w:lineRule="exact"/>
        <w:rPr>
          <w:sz w:val="20"/>
          <w:szCs w:val="20"/>
          <w:color w:val="auto"/>
        </w:rPr>
      </w:pPr>
    </w:p>
    <w:p>
      <w:pPr>
        <w:ind w:left="644" w:hanging="644"/>
        <w:spacing w:after="0"/>
        <w:tabs>
          <w:tab w:leader="none" w:pos="6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 operated by the SEC.</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means any Lender or other bank, financial institution, trust, fund or other entity selected by the Company and which, in each case, is not a member of the Group.</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humans, animals, plants and all other living organisms including the ecological systems of which they form part and the following media:</w:t>
      </w:r>
    </w:p>
    <w:p>
      <w:pPr>
        <w:spacing w:after="0" w:line="159" w:lineRule="exact"/>
        <w:rPr>
          <w:sz w:val="20"/>
          <w:szCs w:val="20"/>
          <w:color w:val="auto"/>
        </w:rPr>
      </w:pPr>
    </w:p>
    <w:p>
      <w:pPr>
        <w:ind w:left="644" w:hanging="644"/>
        <w:spacing w:after="0"/>
        <w:tabs>
          <w:tab w:leader="none" w:pos="6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(including, without limitation, air within natural or man-made structures, whether above or below ground);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(including, without limitation, territorial, coastal and inland waters, water under or within land and water in drains and sewers);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(including, without limitation, land under water).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proceeding, formal notice or investigation by any person in respect of any Environmental Law.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or regulation which relates to:</w:t>
      </w:r>
    </w:p>
    <w:p>
      <w:pPr>
        <w:spacing w:after="0" w:line="229" w:lineRule="exact"/>
        <w:rPr>
          <w:sz w:val="20"/>
          <w:szCs w:val="20"/>
          <w:color w:val="auto"/>
        </w:rPr>
      </w:pPr>
    </w:p>
    <w:p>
      <w:pPr>
        <w:ind w:left="644" w:hanging="644"/>
        <w:spacing w:after="0"/>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pollution or protection of the Environment;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workplace;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handling, storage, use, release or spillage of any substance which, alone or in combination with any other, is capable of causing harm to the Environment, including, without limitation, any waste.</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3" w:name="page224"/>
    <w:bookmarkEnd w:id="223"/>
    <w:p>
      <w:pPr>
        <w:jc w:val="both"/>
        <w:ind w:lef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22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the revolving loan facility made available under this Agreement as described in Clause 2 (</w:t>
      </w:r>
      <w:r>
        <w:rPr>
          <w:rFonts w:ascii="Times New Roman" w:cs="Times New Roman" w:eastAsia="Times New Roman" w:hAnsi="Times New Roman"/>
          <w:sz w:val="18"/>
          <w:szCs w:val="18"/>
          <w:i w:val="1"/>
          <w:iCs w:val="1"/>
          <w:color w:val="auto"/>
        </w:rPr>
        <w:t>The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Fallback Interest Period</w:t>
      </w:r>
      <w:r>
        <w:rPr>
          <w:rFonts w:ascii="Times New Roman" w:cs="Times New Roman" w:eastAsia="Times New Roman" w:hAnsi="Times New Roman"/>
          <w:sz w:val="18"/>
          <w:szCs w:val="18"/>
          <w:color w:val="auto"/>
        </w:rPr>
        <w:t>” means, in relation to a Loan, the period specified as such in the applicable Reference Rate Terms.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740" w:hanging="644"/>
        <w:spacing w:after="0"/>
        <w:tabs>
          <w:tab w:leader="none" w:pos="7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and any associated regulations;</w:t>
      </w:r>
    </w:p>
    <w:p>
      <w:pPr>
        <w:spacing w:after="0" w:line="225" w:lineRule="exact"/>
        <w:rPr>
          <w:rFonts w:ascii="Times New Roman" w:cs="Times New Roman" w:eastAsia="Times New Roman" w:hAnsi="Times New Roman"/>
          <w:sz w:val="18"/>
          <w:szCs w:val="18"/>
          <w:color w:val="auto"/>
        </w:rPr>
      </w:pPr>
    </w:p>
    <w:p>
      <w:pPr>
        <w:ind w:left="740" w:right="20" w:hanging="644"/>
        <w:spacing w:after="0" w:line="282" w:lineRule="auto"/>
        <w:tabs>
          <w:tab w:leader="none" w:pos="7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and</w:t>
      </w:r>
    </w:p>
    <w:p>
      <w:pPr>
        <w:spacing w:after="0" w:line="161" w:lineRule="exact"/>
        <w:rPr>
          <w:rFonts w:ascii="Times New Roman" w:cs="Times New Roman" w:eastAsia="Times New Roman" w:hAnsi="Times New Roman"/>
          <w:sz w:val="18"/>
          <w:szCs w:val="18"/>
          <w:color w:val="auto"/>
        </w:rPr>
      </w:pPr>
    </w:p>
    <w:p>
      <w:pPr>
        <w:ind w:left="740" w:hanging="644"/>
        <w:spacing w:after="0" w:line="282" w:lineRule="auto"/>
        <w:tabs>
          <w:tab w:leader="none" w:pos="7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740" w:hanging="644"/>
        <w:spacing w:after="0" w:line="282" w:lineRule="auto"/>
        <w:tabs>
          <w:tab w:leader="none" w:pos="7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161" w:lineRule="exact"/>
        <w:rPr>
          <w:rFonts w:ascii="Times New Roman" w:cs="Times New Roman" w:eastAsia="Times New Roman" w:hAnsi="Times New Roman"/>
          <w:sz w:val="18"/>
          <w:szCs w:val="18"/>
          <w:color w:val="auto"/>
        </w:rPr>
      </w:pPr>
    </w:p>
    <w:p>
      <w:pPr>
        <w:ind w:left="740" w:right="20" w:hanging="644"/>
        <w:spacing w:after="0" w:line="282" w:lineRule="auto"/>
        <w:tabs>
          <w:tab w:leader="none" w:pos="7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 including (but not limited to) a</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Party that is a financial institution or a branch thereof that is:</w:t>
      </w:r>
    </w:p>
    <w:p>
      <w:pPr>
        <w:spacing w:after="0" w:line="207" w:lineRule="exact"/>
        <w:rPr>
          <w:sz w:val="20"/>
          <w:szCs w:val="20"/>
          <w:color w:val="auto"/>
        </w:rPr>
      </w:pPr>
    </w:p>
    <w:p>
      <w:pPr>
        <w:ind w:left="740" w:hanging="644"/>
        <w:spacing w:after="0" w:line="282" w:lineRule="auto"/>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and/or located in the US or in a jurisdiction that has in effect a FATCA intergovernmental agreement to improve tax compliance and to implement FATCA; and</w:t>
      </w:r>
    </w:p>
    <w:p>
      <w:pPr>
        <w:spacing w:after="0" w:line="161" w:lineRule="exact"/>
        <w:rPr>
          <w:rFonts w:ascii="Times New Roman" w:cs="Times New Roman" w:eastAsia="Times New Roman" w:hAnsi="Times New Roman"/>
          <w:sz w:val="18"/>
          <w:szCs w:val="18"/>
          <w:color w:val="auto"/>
        </w:rPr>
      </w:pPr>
    </w:p>
    <w:p>
      <w:pPr>
        <w:ind w:left="740" w:hanging="644"/>
        <w:spacing w:after="0"/>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treated by the US Internal Revenue Service as a Nonparticipating Financial Institution for FATCA purposes.</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900" w:right="339" w:bottom="1440" w:gutter="0" w:footer="0" w:header="0"/>
        </w:sectPr>
      </w:pPr>
    </w:p>
    <w:bookmarkStart w:id="224" w:name="page225"/>
    <w:bookmarkEnd w:id="224"/>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letter or letters dated on or about the date of this Agreement between the Arranger and the Company (or the Agent and the Company) setting out any of the fees referred to in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 this Agreement, any Fee Letter, any Accession Letter, any Resignation Letter, any Reference Rate Supplement and any other document designated as such by the Agent and the Company.</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means any lease or hire purchase contract, a liability under which would, in accordance with GAAP, be treated as a balance sheet liability.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means the Agent, the Arranger or a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229" w:lineRule="exact"/>
        <w:rPr>
          <w:sz w:val="20"/>
          <w:szCs w:val="20"/>
          <w:color w:val="auto"/>
        </w:rPr>
      </w:pPr>
    </w:p>
    <w:p>
      <w:pPr>
        <w:ind w:left="644" w:hanging="644"/>
        <w:spacing w:after="0"/>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 (but not Trade Instruments);</w:t>
      </w:r>
    </w:p>
    <w:p>
      <w:pPr>
        <w:spacing w:after="0" w:line="161"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in force immediately before the adoption of IFRS 16 (Leases), have been treated as an operating lease);</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of a type not referred to in any other paragraph of this definition having the commercial effect of a borrowing (but excluding any trade credit given to any member of the Group in the ordinary course of trade for not more than 120 days);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expressed to be redeemable by a party that is not a member of the Group;</w:t>
      </w:r>
    </w:p>
    <w:p>
      <w:pPr>
        <w:spacing w:after="0" w:line="225" w:lineRule="exact"/>
        <w:rPr>
          <w:sz w:val="20"/>
          <w:szCs w:val="20"/>
          <w:color w:val="auto"/>
        </w:rPr>
      </w:pPr>
    </w:p>
    <w:p>
      <w:pPr>
        <w:jc w:val="both"/>
        <w:ind w:left="1304" w:hanging="656"/>
        <w:spacing w:after="0" w:line="261" w:lineRule="auto"/>
        <w:tabs>
          <w:tab w:leader="none" w:pos="130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in respect of an underlying liability (but not in any case Trade Instruments) of an entity which is not a member of the Group and which liability would fall within one of the other paragraphs of this definition;</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if:</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primary reasons behind entering into the agreement is to raise finance or to finance the acquisition or construction of the asset or service in question; or</w:t>
      </w:r>
    </w:p>
    <w:p>
      <w:pPr>
        <w:spacing w:after="0" w:line="162" w:lineRule="exact"/>
        <w:rPr>
          <w:sz w:val="20"/>
          <w:szCs w:val="20"/>
          <w:color w:val="auto"/>
        </w:rPr>
      </w:pPr>
    </w:p>
    <w:p>
      <w:pPr>
        <w:ind w:left="1304" w:hanging="656"/>
        <w:spacing w:after="0" w:line="282" w:lineRule="auto"/>
        <w:tabs>
          <w:tab w:leader="none" w:pos="130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in respect of the supply of assets or services and payment is due more than 120 days after its customary date of payment;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or indemnity for any of the items referred to in paragraphs (a) to (j) above;</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provided that: (i) the consignment of crypto-assets in the ordinary course of trading; (ii) any debt or obligation exclusively among and between members of the Group; and (iii) (other than for the purposes of Clause 22.5 (</w:t>
      </w:r>
      <w:r>
        <w:rPr>
          <w:rFonts w:ascii="Times New Roman" w:cs="Times New Roman" w:eastAsia="Times New Roman" w:hAnsi="Times New Roman"/>
          <w:sz w:val="18"/>
          <w:szCs w:val="18"/>
          <w:i w:val="1"/>
          <w:iCs w:val="1"/>
          <w:color w:val="auto"/>
        </w:rPr>
        <w:t>Cross default</w:t>
      </w:r>
      <w:r>
        <w:rPr>
          <w:rFonts w:ascii="Times New Roman" w:cs="Times New Roman" w:eastAsia="Times New Roman" w:hAnsi="Times New Roman"/>
          <w:sz w:val="18"/>
          <w:szCs w:val="18"/>
          <w:color w:val="auto"/>
        </w:rPr>
        <w:t>)) any indebtedness described under paragraph (g) above incurred by a member of the Group in the ordinary course of trading (“</w:t>
      </w:r>
      <w:r>
        <w:rPr>
          <w:rFonts w:ascii="Times New Roman" w:cs="Times New Roman" w:eastAsia="Times New Roman" w:hAnsi="Times New Roman"/>
          <w:sz w:val="18"/>
          <w:szCs w:val="18"/>
          <w:b w:val="1"/>
          <w:bCs w:val="1"/>
          <w:color w:val="auto"/>
        </w:rPr>
        <w:t>Ordinary Course Derivative Liabilities</w:t>
      </w:r>
      <w:r>
        <w:rPr>
          <w:rFonts w:ascii="Times New Roman" w:cs="Times New Roman" w:eastAsia="Times New Roman" w:hAnsi="Times New Roman"/>
          <w:sz w:val="18"/>
          <w:szCs w:val="18"/>
          <w:color w:val="auto"/>
        </w:rPr>
        <w:t>”) shall not constitute Financial Indebtedness.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5" w:name="page226"/>
    <w:bookmarkEnd w:id="225"/>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has the meaning given to that term in Clause 20.1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Rate</w:t>
      </w:r>
      <w:r>
        <w:rPr>
          <w:rFonts w:ascii="Times New Roman" w:cs="Times New Roman" w:eastAsia="Times New Roman" w:hAnsi="Times New Roman"/>
          <w:sz w:val="18"/>
          <w:szCs w:val="18"/>
          <w:color w:val="auto"/>
        </w:rPr>
        <w:t>” means any individual rate notified by a Lender to the Agent pursuant to paragraph (a)(ii) of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standards and practices in the jurisdiction of the relevant Obligor, including IFRS.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its Subsidiaries for the time being.</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 Original Guarantor or an Additional Guarantor, unless it has ceased to be a Guarantor in accordance with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Historic Primary Term Rate</w:t>
      </w:r>
      <w:r>
        <w:rPr>
          <w:rFonts w:ascii="Times New Roman" w:cs="Times New Roman" w:eastAsia="Times New Roman" w:hAnsi="Times New Roman"/>
          <w:sz w:val="18"/>
          <w:szCs w:val="18"/>
          <w:color w:val="auto"/>
        </w:rPr>
        <w:t>” means, in relation to any Loan, the most recent applicable Primary Term Rate for a period equal in length to the Interest Period of that Loan and which is as of a day which is no more than three days before the Quotation Day.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person, any other person in respect of which it is a Subsidiary.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International Financial Reporting Standards and related Interpretations, together with any future standards and related interpretations issued or adopted by the International Accounting Standards Board, in each case as amended and to the extent applicable to the relevant financial statements.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Impaired Agent</w:t>
      </w:r>
      <w:r>
        <w:rPr>
          <w:rFonts w:ascii="Times New Roman" w:cs="Times New Roman" w:eastAsia="Times New Roman" w:hAnsi="Times New Roman"/>
          <w:sz w:val="18"/>
          <w:szCs w:val="18"/>
          <w:color w:val="auto"/>
        </w:rPr>
        <w:t>” means the Agent at any time when:</w:t>
      </w:r>
    </w:p>
    <w:p>
      <w:pPr>
        <w:spacing w:after="0" w:line="229" w:lineRule="exact"/>
        <w:rPr>
          <w:sz w:val="20"/>
          <w:szCs w:val="20"/>
          <w:color w:val="auto"/>
        </w:rPr>
      </w:pPr>
    </w:p>
    <w:p>
      <w:pPr>
        <w:ind w:left="644" w:hanging="644"/>
        <w:spacing w:after="0" w:line="282" w:lineRule="auto"/>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(b) or (d) of the definition of “Defaulting Lender”;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225" w:lineRule="exact"/>
        <w:rPr>
          <w:sz w:val="20"/>
          <w:szCs w:val="20"/>
          <w:color w:val="auto"/>
        </w:rPr>
      </w:pPr>
    </w:p>
    <w:p>
      <w:pPr>
        <w:ind w:left="1304" w:hanging="656"/>
        <w:spacing w:after="0"/>
        <w:tabs>
          <w:tab w:leader="none" w:pos="130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payment is made within five Business Days of its due date; or</w:t>
      </w:r>
    </w:p>
    <w:p>
      <w:pPr>
        <w:spacing w:after="0" w:line="225" w:lineRule="exact"/>
        <w:rPr>
          <w:sz w:val="20"/>
          <w:szCs w:val="20"/>
          <w:color w:val="auto"/>
        </w:rPr>
      </w:pPr>
    </w:p>
    <w:p>
      <w:pPr>
        <w:ind w:left="1304" w:hanging="656"/>
        <w:spacing w:after="0"/>
        <w:tabs>
          <w:tab w:leader="none" w:pos="1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6" w:name="page227"/>
    <w:bookmarkEnd w:id="226"/>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Confirmation</w:t>
      </w:r>
      <w:r>
        <w:rPr>
          <w:rFonts w:ascii="Times New Roman" w:cs="Times New Roman" w:eastAsia="Times New Roman" w:hAnsi="Times New Roman"/>
          <w:sz w:val="18"/>
          <w:szCs w:val="18"/>
          <w:color w:val="auto"/>
        </w:rPr>
        <w:t>” means a confirmation substantially in the form set out in Schedule 10 (</w:t>
      </w:r>
      <w:r>
        <w:rPr>
          <w:rFonts w:ascii="Times New Roman" w:cs="Times New Roman" w:eastAsia="Times New Roman" w:hAnsi="Times New Roman"/>
          <w:sz w:val="18"/>
          <w:szCs w:val="18"/>
          <w:i w:val="1"/>
          <w:iCs w:val="1"/>
          <w:color w:val="auto"/>
        </w:rPr>
        <w:t>Form of Increase Confirmation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has the meaning given to that term in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in relation to an entity means that the entity:</w:t>
      </w:r>
    </w:p>
    <w:p>
      <w:pPr>
        <w:spacing w:after="0" w:line="229" w:lineRule="exact"/>
        <w:rPr>
          <w:sz w:val="20"/>
          <w:szCs w:val="20"/>
          <w:color w:val="auto"/>
        </w:rPr>
      </w:pPr>
    </w:p>
    <w:p>
      <w:pPr>
        <w:ind w:left="644" w:hanging="644"/>
        <w:spacing w:after="0"/>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other official;</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30 days of the institution or presentation thereof;</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7" w:name="page228"/>
    <w:bookmarkEnd w:id="227"/>
    <w:p>
      <w:pPr>
        <w:jc w:val="both"/>
        <w:ind w:left="644" w:hanging="644"/>
        <w:spacing w:after="0" w:line="266"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(i) above;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trademarks,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rights to use such assets of each member of the Group (which may now or in the future subsist).</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relation to a Loan, each period determined in accordance with Clause 9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 in relation to an Unpaid Sum, each period determined in accordance with Clause 8.3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Historic Primary Term Rate</w:t>
      </w:r>
      <w:r>
        <w:rPr>
          <w:rFonts w:ascii="Times New Roman" w:cs="Times New Roman" w:eastAsia="Times New Roman" w:hAnsi="Times New Roman"/>
          <w:sz w:val="18"/>
          <w:szCs w:val="18"/>
          <w:color w:val="auto"/>
        </w:rPr>
        <w:t>” means, in relation to any Loan, the rate (rounded to the same number of decimal places as the two relevant Primary Term Rates) which results from interpolating on a linear basis between:</w:t>
      </w:r>
    </w:p>
    <w:p>
      <w:pPr>
        <w:spacing w:after="0" w:line="159" w:lineRule="exact"/>
        <w:rPr>
          <w:sz w:val="20"/>
          <w:szCs w:val="20"/>
          <w:color w:val="auto"/>
        </w:rPr>
      </w:pPr>
    </w:p>
    <w:p>
      <w:pPr>
        <w:ind w:left="644" w:hanging="644"/>
        <w:spacing w:after="0" w:line="282" w:lineRule="auto"/>
        <w:tabs>
          <w:tab w:leader="none" w:pos="6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Primary Term Rate for the longest period (for which that Primary Term Rate is available) which is less than the Interest Period of that Loan;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Primary Term Rate for the shortest period (for which that Primary Term Rate is available) which exceeds the Interest Period of that Loan,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which is as of a day which is no more than three days before the Quotation Day.</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8" w:name="page229"/>
    <w:bookmarkEnd w:id="228"/>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Primary Term Rate</w:t>
      </w:r>
      <w:r>
        <w:rPr>
          <w:rFonts w:ascii="Times New Roman" w:cs="Times New Roman" w:eastAsia="Times New Roman" w:hAnsi="Times New Roman"/>
          <w:sz w:val="18"/>
          <w:szCs w:val="18"/>
          <w:color w:val="auto"/>
        </w:rPr>
        <w:t>” means, in relation to any Loan, the rate (rounded to the same number of decimal places as the two relevant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Primary Term Rates) which results from interpolating on a linear basis between:</w:t>
      </w:r>
    </w:p>
    <w:p>
      <w:pPr>
        <w:spacing w:after="0" w:line="207" w:lineRule="exact"/>
        <w:rPr>
          <w:sz w:val="20"/>
          <w:szCs w:val="20"/>
          <w:color w:val="auto"/>
        </w:rPr>
      </w:pPr>
    </w:p>
    <w:p>
      <w:pPr>
        <w:ind w:left="644" w:hanging="644"/>
        <w:spacing w:after="0" w:line="282" w:lineRule="auto"/>
        <w:tabs>
          <w:tab w:leader="none" w:pos="6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Primary Term Rate for the longest period (for which that Primary Term Rate is available) which is less than the Interest Period of that Loan;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Primary Term Rate for the shortest period (for which that Primary Term Rate is available) which exceeds the Interest Period of that Loan, each as of the Quotation Time.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Companies Law</w:t>
      </w:r>
      <w:r>
        <w:rPr>
          <w:rFonts w:ascii="Times New Roman" w:cs="Times New Roman" w:eastAsia="Times New Roman" w:hAnsi="Times New Roman"/>
          <w:sz w:val="18"/>
          <w:szCs w:val="18"/>
          <w:color w:val="auto"/>
        </w:rPr>
        <w:t>” means the Israeli Companies Law, 5759-1999.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Guarantee Law</w:t>
      </w:r>
      <w:r>
        <w:rPr>
          <w:rFonts w:ascii="Times New Roman" w:cs="Times New Roman" w:eastAsia="Times New Roman" w:hAnsi="Times New Roman"/>
          <w:sz w:val="18"/>
          <w:szCs w:val="18"/>
          <w:color w:val="auto"/>
        </w:rPr>
        <w:t>” means the Israeli Guarantee Law, 5727-1967.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Insolvency Law</w:t>
      </w:r>
      <w:r>
        <w:rPr>
          <w:rFonts w:ascii="Times New Roman" w:cs="Times New Roman" w:eastAsia="Times New Roman" w:hAnsi="Times New Roman"/>
          <w:sz w:val="18"/>
          <w:szCs w:val="18"/>
          <w:color w:val="auto"/>
        </w:rPr>
        <w:t>” means the Israeli Insolvency and Economic Rehabilitation Law, 5778-2018.</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Registration Statement</w:t>
      </w:r>
      <w:r>
        <w:rPr>
          <w:rFonts w:ascii="Times New Roman" w:cs="Times New Roman" w:eastAsia="Times New Roman" w:hAnsi="Times New Roman"/>
          <w:sz w:val="18"/>
          <w:szCs w:val="18"/>
          <w:color w:val="auto"/>
        </w:rPr>
        <w:t>” means the Registration Statement on Form F-1 (File No. 333-286050) as originally filed with the SEC on 24 March 2025 (as supplemented through to 15 May 2025).</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means any legal opinion delivered pursuant to Clause 4 (</w:t>
      </w:r>
      <w:r>
        <w:rPr>
          <w:rFonts w:ascii="Times New Roman" w:cs="Times New Roman" w:eastAsia="Times New Roman" w:hAnsi="Times New Roman"/>
          <w:sz w:val="18"/>
          <w:szCs w:val="18"/>
          <w:i w:val="1"/>
          <w:iCs w:val="1"/>
          <w:color w:val="auto"/>
        </w:rPr>
        <w:t>Conditions of Utilisation</w:t>
      </w:r>
      <w:r>
        <w:rPr>
          <w:rFonts w:ascii="Times New Roman" w:cs="Times New Roman" w:eastAsia="Times New Roman" w:hAnsi="Times New Roman"/>
          <w:sz w:val="18"/>
          <w:szCs w:val="18"/>
          <w:color w:val="auto"/>
        </w:rPr>
        <w:t>) or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the limitation of enforcement by laws relating to bankruptcy, insolvency, liquidation, reorganisation, court schemes, moratoria, administration, other laws generally affecting the rights of creditors and any other laws of public policy relevant in the jurisdiction of incorporation of the relevant member of the Group;</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applicable limitation laws (including the Limitation Acts or equivalent legislation in any applicable jurisdiction), the possibility that an undertaking to assume liability for or indemnify a person against non-payment of stamp duty may be void, defences of acquiescence, set-off or counterclaim;</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any additional interest and/or any prepayment fee imposed under any relevant agreement may be held to be unenforceable on the grounds that it is a penalty and thus void;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general principles which are set out as qualifications as to matters of law in the Legal Opinions.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and</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or Clause 23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in each case has not ceased to be a Party as such in accordance with the terms of this Agreement.</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29" w:name="page230"/>
    <w:bookmarkEnd w:id="229"/>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has the meaning given to that term in Clause 20.1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loan made or to be made under the Facility or the principal amount outstanding for the time being of that loan.</w:t>
      </w:r>
    </w:p>
    <w:p>
      <w:pPr>
        <w:spacing w:after="0" w:line="140" w:lineRule="exact"/>
        <w:rPr>
          <w:sz w:val="20"/>
          <w:szCs w:val="20"/>
          <w:color w:val="auto"/>
        </w:rPr>
      </w:pPr>
    </w:p>
    <w:p>
      <w:pPr>
        <w:jc w:val="both"/>
        <w:ind w:left="4"/>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means a Lender or Lenders whose Commitments aggregate more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per cent. of the Total Commitments (or, if the Total Commitments have been reduced to zero, aggregated more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per cent. of the Total Commitments immediately prior to the reduction).</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3.00 per cent per annum;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Leverage Ratio, as determined by the most recent financial statements delivered pursuant to paragraphs (a), (c) or (e) of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or Compliance Certificate delivered pursuant to Clause 19.2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equals or exceeds 2:1, 3.50 per cent. per annum.</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Rate</w:t>
      </w:r>
      <w:r>
        <w:rPr>
          <w:rFonts w:ascii="Times New Roman" w:cs="Times New Roman" w:eastAsia="Times New Roman" w:hAnsi="Times New Roman"/>
          <w:sz w:val="18"/>
          <w:szCs w:val="18"/>
          <w:color w:val="auto"/>
        </w:rPr>
        <w:t>” means the rate (if any)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or material adverse change in:</w:t>
      </w:r>
    </w:p>
    <w:p>
      <w:pPr>
        <w:spacing w:after="0" w:line="229" w:lineRule="exact"/>
        <w:rPr>
          <w:sz w:val="20"/>
          <w:szCs w:val="20"/>
          <w:color w:val="auto"/>
        </w:rPr>
      </w:pPr>
    </w:p>
    <w:p>
      <w:pPr>
        <w:ind w:left="644" w:hanging="644"/>
        <w:spacing w:after="0"/>
        <w:tabs>
          <w:tab w:leader="none" w:pos="6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assets or business of the Group taken as a whole;</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Obligors (taken together as a group) to perform or comply with their payment obligations under any Finance Document or obligations under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the Finance Documents or the rights or remedies of any Finance Party under any of the Finance Documents.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Group Company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Borrower;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Guarantor; and</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which has earnings before interest, tax, depreciation and amortisation calculated on the same basis as Adjusted EBITDA representing 10 per cent. or more of Adjusted EBITDA or has gross assets representing 10 per cent. or more of the gross assets of the Group, calculated on a consolidated basis.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30" w:name="page231"/>
    <w:bookmarkEnd w:id="230"/>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Compliance with the conditions set out in paragraph (d) above shall be determined by reference to the most recent Compliance Certificate supplied by the Company and/or the latest audited financial statements of that Subsidiary (consolidated in the case of a Subsidiary which itself has Subsidiaries) and the latest audited consolidated financial statements of the Group. However, if a Subsidiary has been acquired since the date as at which the latest audited consolidated financial statements of the Group were prepared, the financial statements shall be deemed to be adjusted in order to take into account the acquisition of that Subsidiary.</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in relation to an Interest Period (or any other period for the accrual of commission or fees in a currency), a period starting on one day in a calendar month and ending on the numerically corresponding day in the next calendar month, subject to adjustment in accordance with the rules specified as Business Day Conventions in the applicable Reference Rate Terms.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has the meaning given to that term in Clause 23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 Borrower or a Guarantor.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right="20" w:hanging="644"/>
        <w:spacing w:after="0" w:line="282" w:lineRule="auto"/>
        <w:tabs>
          <w:tab w:leader="none" w:pos="6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Company, the audited consolidated financial statements of the Group for the financial year ended 31 December 2024 as they appear in the IPO Registration Statement; and</w:t>
      </w:r>
    </w:p>
    <w:p>
      <w:pPr>
        <w:spacing w:after="0" w:line="159"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purposes of paragraph (b) of Clause 19.3 (</w:t>
      </w:r>
      <w:r>
        <w:rPr>
          <w:rFonts w:ascii="Times New Roman" w:cs="Times New Roman" w:eastAsia="Times New Roman" w:hAnsi="Times New Roman"/>
          <w:sz w:val="18"/>
          <w:szCs w:val="18"/>
          <w:i w:val="1"/>
          <w:iCs w:val="1"/>
          <w:color w:val="auto"/>
        </w:rPr>
        <w:t>Requirements as to financial statements</w:t>
      </w:r>
      <w:r>
        <w:rPr>
          <w:rFonts w:ascii="Times New Roman" w:cs="Times New Roman" w:eastAsia="Times New Roman" w:hAnsi="Times New Roman"/>
          <w:sz w:val="18"/>
          <w:szCs w:val="18"/>
          <w:color w:val="auto"/>
        </w:rPr>
        <w:t>) in relation to the Original Guarantor, the Original Guarantor 2024 Accounts.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Guarantor 2024 Accounts</w:t>
      </w:r>
      <w:r>
        <w:rPr>
          <w:rFonts w:ascii="Times New Roman" w:cs="Times New Roman" w:eastAsia="Times New Roman" w:hAnsi="Times New Roman"/>
          <w:sz w:val="18"/>
          <w:szCs w:val="18"/>
          <w:color w:val="auto"/>
        </w:rPr>
        <w:t>” has the meaning given to that term in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Jurisdiction</w:t>
      </w:r>
      <w:r>
        <w:rPr>
          <w:rFonts w:ascii="Times New Roman" w:cs="Times New Roman" w:eastAsia="Times New Roman" w:hAnsi="Times New Roman"/>
          <w:sz w:val="18"/>
          <w:szCs w:val="18"/>
          <w:color w:val="auto"/>
        </w:rPr>
        <w:t>” means, in relation to an Obligor, the jurisdiction under whose laws that Obligor is incorporated as at the date of this Agreement or, in the case of an Additional Obligor, as at the date on which that Additional Obligor becomes Party as a Borrower or a Guarantor (as the case may be).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Obligor</w:t>
      </w:r>
      <w:r>
        <w:rPr>
          <w:rFonts w:ascii="Times New Roman" w:cs="Times New Roman" w:eastAsia="Times New Roman" w:hAnsi="Times New Roman"/>
          <w:sz w:val="18"/>
          <w:szCs w:val="18"/>
          <w:color w:val="auto"/>
        </w:rPr>
        <w:t>” means an Original Borrower or an Original Guarantor.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Financial Indebtedness</w:t>
      </w:r>
      <w:r>
        <w:rPr>
          <w:rFonts w:ascii="Times New Roman" w:cs="Times New Roman" w:eastAsia="Times New Roman" w:hAnsi="Times New Roman"/>
          <w:sz w:val="18"/>
          <w:szCs w:val="18"/>
          <w:color w:val="auto"/>
        </w:rPr>
        <w:t>” means Financial Indebtedness:</w:t>
      </w:r>
    </w:p>
    <w:p>
      <w:pPr>
        <w:spacing w:after="0" w:line="229" w:lineRule="exact"/>
        <w:rPr>
          <w:sz w:val="20"/>
          <w:szCs w:val="20"/>
          <w:color w:val="auto"/>
        </w:rPr>
      </w:pPr>
    </w:p>
    <w:p>
      <w:pPr>
        <w:ind w:left="644" w:hanging="644"/>
        <w:spacing w:after="0"/>
        <w:tabs>
          <w:tab w:leader="none" w:pos="6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the Finance Documents;</w:t>
      </w:r>
    </w:p>
    <w:p>
      <w:pPr>
        <w:spacing w:after="0" w:line="22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by the issue of shares by the Borrower (the “</w:t>
      </w:r>
      <w:r>
        <w:rPr>
          <w:rFonts w:ascii="Times New Roman" w:cs="Times New Roman" w:eastAsia="Times New Roman" w:hAnsi="Times New Roman"/>
          <w:sz w:val="18"/>
          <w:szCs w:val="18"/>
          <w:b w:val="1"/>
          <w:bCs w:val="1"/>
          <w:color w:val="auto"/>
        </w:rPr>
        <w:t>New Issuance</w:t>
      </w:r>
      <w:r>
        <w:rPr>
          <w:rFonts w:ascii="Times New Roman" w:cs="Times New Roman" w:eastAsia="Times New Roman" w:hAnsi="Times New Roman"/>
          <w:sz w:val="18"/>
          <w:szCs w:val="18"/>
          <w:color w:val="auto"/>
        </w:rPr>
        <w:t>”), which are redeemable at the option of the holder, provided that:</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redeemable until after the Termination Date, and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Issuance does not result in gaining control of the Company by any person or group of persons acting in concert under Clause 7.2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1" w:name="page232"/>
    <w:bookmarkEnd w:id="231"/>
    <w:p>
      <w:pPr>
        <w:ind w:left="644" w:hanging="644"/>
        <w:spacing w:after="0"/>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any cash-pooling, netting, set-off or other cash management arrangements entered into in the ordinary course of business;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financing, discounting or factoring to the extent they are entered into on a non-recourse basis in an aggregate amount of up to U.S.$25,000,000 (or its equivalent in other currencies);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corporate credit card facilities and overdraft facilities entered into in the ordinary course of business in an aggregate amount of up to U.S.$25,000,000 (or its equivalent in other currencies);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as a result of daylight exposures and BACS and SEPA facilities entered into in the ordinary course of the Group’s treasury activities;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liability of any member of the Group owed to any customer or client, in its capacity as such, in the ordinary course of trading;</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by any member of the Group to any liquidity provider or payment processor that is necessary for the operation of the business of any member of the Group provided that such Financial Indebtedness:</w:t>
      </w:r>
    </w:p>
    <w:p>
      <w:pPr>
        <w:spacing w:after="0" w:line="162" w:lineRule="exact"/>
        <w:rPr>
          <w:sz w:val="20"/>
          <w:szCs w:val="20"/>
          <w:color w:val="auto"/>
        </w:rPr>
      </w:pPr>
    </w:p>
    <w:p>
      <w:pPr>
        <w:ind w:left="1304" w:hanging="656"/>
        <w:spacing w:after="0"/>
        <w:tabs>
          <w:tab w:leader="none" w:pos="130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incurred by way of a transaction made in the ordinary course of trading activities; and</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in accordance with GAAP, be included as a liability on the consolidated balance sheet of the Company were a consolidated balance sheet of the Company to be prepared as at the date such Financial Indebtedness is incurred;</w:t>
      </w:r>
    </w:p>
    <w:p>
      <w:pPr>
        <w:spacing w:after="0" w:line="162" w:lineRule="exact"/>
        <w:rPr>
          <w:sz w:val="20"/>
          <w:szCs w:val="20"/>
          <w:color w:val="auto"/>
        </w:rPr>
      </w:pPr>
    </w:p>
    <w:p>
      <w:pPr>
        <w:ind w:left="644" w:hanging="644"/>
        <w:spacing w:after="0" w:line="282"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Finance Leases of vehicles, plant, equipment or computers, provided that the aggregate capital value of all such items so leased does not exceed U.S.$25,000,000 (or its equivalent in other currencies); or</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incurred exclusively by one or more Obligors if immediately after giving effect to such incurrence and the application of proceeds of that Financial Indebtedness;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Ratio is not higher than the Leverage Ratio immediately prior to such incurrence;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Ratio is not higher than 2.25:1,</w:t>
      </w:r>
    </w:p>
    <w:p>
      <w:pPr>
        <w:spacing w:after="0" w:line="225" w:lineRule="exact"/>
        <w:rPr>
          <w:sz w:val="20"/>
          <w:szCs w:val="20"/>
          <w:color w:val="auto"/>
        </w:rPr>
      </w:pPr>
    </w:p>
    <w:p>
      <w:pPr>
        <w:ind w:left="644" w:right="20"/>
        <w:spacing w:after="0" w:line="282" w:lineRule="auto"/>
        <w:rPr>
          <w:sz w:val="20"/>
          <w:szCs w:val="20"/>
          <w:color w:val="auto"/>
        </w:rPr>
      </w:pPr>
      <w:r>
        <w:rPr>
          <w:rFonts w:ascii="Times New Roman" w:cs="Times New Roman" w:eastAsia="Times New Roman" w:hAnsi="Times New Roman"/>
          <w:sz w:val="18"/>
          <w:szCs w:val="18"/>
          <w:color w:val="auto"/>
        </w:rPr>
        <w:t>in each case, assuming, for the purposes of calculating the Leverage Ratio, that such Financial Indebtedness has been incurred and applied as of the then most recent Quarter Date to have occurred;</w:t>
      </w:r>
    </w:p>
    <w:p>
      <w:pPr>
        <w:spacing w:after="0" w:line="162" w:lineRule="exact"/>
        <w:rPr>
          <w:sz w:val="20"/>
          <w:szCs w:val="20"/>
          <w:color w:val="auto"/>
        </w:rPr>
      </w:pPr>
    </w:p>
    <w:p>
      <w:pPr>
        <w:jc w:val="both"/>
        <w:ind w:left="644" w:hanging="644"/>
        <w:spacing w:after="0" w:line="266" w:lineRule="auto"/>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incurred by a member of the Group (other than an Obligor) if the outstanding principal amount of such Financial Indebtedness does not exceed U.S.$25,000,000 (or its equivalent in other currencies) in aggregate for all members of the Group (other than the Obligors) at any time; and/or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2" w:name="page233"/>
    <w:bookmarkEnd w:id="232"/>
    <w:p>
      <w:pPr>
        <w:ind w:left="644" w:hanging="644"/>
        <w:spacing w:after="0" w:line="282" w:lineRule="auto"/>
        <w:tabs>
          <w:tab w:leader="none" w:pos="6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or existing in respect of any company which becomes a member of the Group after the date of this Agreement, where such Financial Indebtedness is incurred prior to the date on which that company becomes a member of the Group, if:</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Indebtedness was not incurred, or having its maturity date extended, in contemplation of or since the acquisition of that company;</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Financial Indebtedness has not been increased in contemplation of or since the acquisition of that company; and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Indebtedness is repaid and cancelled in full (and all Security and Quasi-Security existing in respect of such Financial Indebtedness released) within six months of that company becoming a member of the Group.</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Term Rate</w:t>
      </w:r>
      <w:r>
        <w:rPr>
          <w:rFonts w:ascii="Times New Roman" w:cs="Times New Roman" w:eastAsia="Times New Roman" w:hAnsi="Times New Roman"/>
          <w:sz w:val="18"/>
          <w:szCs w:val="18"/>
          <w:color w:val="auto"/>
        </w:rPr>
        <w:t>” means the rate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Day</w:t>
      </w:r>
      <w:r>
        <w:rPr>
          <w:rFonts w:ascii="Times New Roman" w:cs="Times New Roman" w:eastAsia="Times New Roman" w:hAnsi="Times New Roman"/>
          <w:sz w:val="18"/>
          <w:szCs w:val="18"/>
          <w:color w:val="auto"/>
        </w:rPr>
        <w:t>” means the day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Time</w:t>
      </w:r>
      <w:r>
        <w:rPr>
          <w:rFonts w:ascii="Times New Roman" w:cs="Times New Roman" w:eastAsia="Times New Roman" w:hAnsi="Times New Roman"/>
          <w:sz w:val="18"/>
          <w:szCs w:val="18"/>
          <w:color w:val="auto"/>
        </w:rPr>
        <w:t>” means the relevant time (if any)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Quoted Tenor</w:t>
      </w:r>
      <w:r>
        <w:rPr>
          <w:rFonts w:ascii="Times New Roman" w:cs="Times New Roman" w:eastAsia="Times New Roman" w:hAnsi="Times New Roman"/>
          <w:sz w:val="18"/>
          <w:szCs w:val="18"/>
          <w:color w:val="auto"/>
        </w:rPr>
        <w:t>” means, in relation to a Primary Term Rate, any period for which that rate is customarily published.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Supplement</w:t>
      </w:r>
      <w:r>
        <w:rPr>
          <w:rFonts w:ascii="Times New Roman" w:cs="Times New Roman" w:eastAsia="Times New Roman" w:hAnsi="Times New Roman"/>
          <w:sz w:val="18"/>
          <w:szCs w:val="18"/>
          <w:color w:val="auto"/>
        </w:rPr>
        <w:t>” means a document which:</w:t>
      </w:r>
    </w:p>
    <w:p>
      <w:pPr>
        <w:spacing w:after="0" w:line="229" w:lineRule="exact"/>
        <w:rPr>
          <w:sz w:val="20"/>
          <w:szCs w:val="20"/>
          <w:color w:val="auto"/>
        </w:rPr>
      </w:pPr>
    </w:p>
    <w:p>
      <w:pPr>
        <w:ind w:left="644" w:hanging="644"/>
        <w:spacing w:after="0" w:line="282" w:lineRule="auto"/>
        <w:tabs>
          <w:tab w:leader="none" w:pos="6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agreed in writing by the Company, the Agent (in its own capacity) and the Agent (acting on the instructions of the Majority Lenders or, in the case of any Reference Rate Supplement which has the effect of a reduction in the Margin, all the Lenders);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relevant terms which are expressed in this Agreement to be determined by reference to Reference Rate Terms;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made available to the Company and each Finance Party.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Terms</w:t>
      </w:r>
      <w:r>
        <w:rPr>
          <w:rFonts w:ascii="Times New Roman" w:cs="Times New Roman" w:eastAsia="Times New Roman" w:hAnsi="Times New Roman"/>
          <w:sz w:val="18"/>
          <w:szCs w:val="18"/>
          <w:color w:val="auto"/>
        </w:rPr>
        <w:t>” means, in relation to:</w:t>
      </w:r>
    </w:p>
    <w:p>
      <w:pPr>
        <w:spacing w:after="0" w:line="229" w:lineRule="exact"/>
        <w:rPr>
          <w:sz w:val="20"/>
          <w:szCs w:val="20"/>
          <w:color w:val="auto"/>
        </w:rPr>
      </w:pPr>
    </w:p>
    <w:p>
      <w:pPr>
        <w:ind w:left="644" w:hanging="644"/>
        <w:spacing w:after="0"/>
        <w:tabs>
          <w:tab w:leader="none" w:pos="6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an Unpaid Sum;</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such a Loan or Unpaid Sum (or other period for the accrual of commission or fees); or</w:t>
      </w:r>
    </w:p>
    <w:p>
      <w:pPr>
        <w:spacing w:after="0" w:line="225" w:lineRule="exact"/>
        <w:rPr>
          <w:rFonts w:ascii="Times New Roman" w:cs="Times New Roman" w:eastAsia="Times New Roman" w:hAnsi="Times New Roman"/>
          <w:sz w:val="18"/>
          <w:szCs w:val="18"/>
          <w:color w:val="auto"/>
        </w:rPr>
      </w:pPr>
    </w:p>
    <w:p>
      <w:pPr>
        <w:ind w:left="4" w:right="1400" w:hanging="4"/>
        <w:spacing w:after="0" w:line="498" w:lineRule="auto"/>
        <w:tabs>
          <w:tab w:leader="none" w:pos="6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of this Agreement relating to the determination of a rate of interest in relation to such a Loan or Unpaid Sum, the terms set out in Schedule 11 (</w:t>
      </w:r>
      <w:r>
        <w:rPr>
          <w:rFonts w:ascii="Times New Roman" w:cs="Times New Roman" w:eastAsia="Times New Roman" w:hAnsi="Times New Roman"/>
          <w:sz w:val="18"/>
          <w:szCs w:val="18"/>
          <w:i w:val="1"/>
          <w:iCs w:val="1"/>
          <w:color w:val="auto"/>
        </w:rPr>
        <w:t>Reference Rate Terms</w:t>
      </w:r>
      <w:r>
        <w:rPr>
          <w:rFonts w:ascii="Times New Roman" w:cs="Times New Roman" w:eastAsia="Times New Roman" w:hAnsi="Times New Roman"/>
          <w:sz w:val="18"/>
          <w:szCs w:val="18"/>
          <w:color w:val="auto"/>
        </w:rPr>
        <w:t>) or in any relevant Reference Rate Supplement.</w:t>
      </w:r>
    </w:p>
    <w:p>
      <w:pPr>
        <w:spacing w:after="0" w:line="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 of Charges</w:t>
      </w:r>
      <w:r>
        <w:rPr>
          <w:rFonts w:ascii="Times New Roman" w:cs="Times New Roman" w:eastAsia="Times New Roman" w:hAnsi="Times New Roman"/>
          <w:sz w:val="18"/>
          <w:szCs w:val="18"/>
          <w:color w:val="auto"/>
        </w:rPr>
        <w:t>” means the private register of charges maintained by the Original Borrower pursuant to Section 162 of the BVI Companies Act.</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3" w:name="page234"/>
    <w:bookmarkEnd w:id="233"/>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 of Directors</w:t>
      </w:r>
      <w:r>
        <w:rPr>
          <w:rFonts w:ascii="Times New Roman" w:cs="Times New Roman" w:eastAsia="Times New Roman" w:hAnsi="Times New Roman"/>
          <w:sz w:val="18"/>
          <w:szCs w:val="18"/>
          <w:color w:val="auto"/>
        </w:rPr>
        <w:t>” means the register of directors maintained by the Original Borrower pursuant to Section 118 of the BVI Companies Act.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 of Members</w:t>
      </w:r>
      <w:r>
        <w:rPr>
          <w:rFonts w:ascii="Times New Roman" w:cs="Times New Roman" w:eastAsia="Times New Roman" w:hAnsi="Times New Roman"/>
          <w:sz w:val="18"/>
          <w:szCs w:val="18"/>
          <w:color w:val="auto"/>
        </w:rPr>
        <w:t>” means the register of members maintained by the Original Borrower pursuant to Section 41 of the BVI Companies Act.</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Agent</w:t>
      </w:r>
      <w:r>
        <w:rPr>
          <w:rFonts w:ascii="Times New Roman" w:cs="Times New Roman" w:eastAsia="Times New Roman" w:hAnsi="Times New Roman"/>
          <w:sz w:val="18"/>
          <w:szCs w:val="18"/>
          <w:color w:val="auto"/>
        </w:rPr>
        <w:t>” means the registered agent of the Original Borrower in the BVI appointed in accordance with Section 91(2) of the BVI Companies Act.</w:t>
      </w:r>
    </w:p>
    <w:p>
      <w:pPr>
        <w:spacing w:after="0" w:line="155"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in relation to a fund (the “</w:t>
      </w:r>
      <w:r>
        <w:rPr>
          <w:rFonts w:ascii="Times New Roman" w:cs="Times New Roman" w:eastAsia="Times New Roman" w:hAnsi="Times New Roman"/>
          <w:sz w:val="18"/>
          <w:szCs w:val="18"/>
          <w:b w:val="1"/>
          <w:bCs w:val="1"/>
          <w:color w:val="auto"/>
        </w:rPr>
        <w:t>first fund</w:t>
      </w:r>
      <w:r>
        <w:rPr>
          <w:rFonts w:ascii="Times New Roman" w:cs="Times New Roman" w:eastAsia="Times New Roman" w:hAnsi="Times New Roman"/>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Market</w:t>
      </w:r>
      <w:r>
        <w:rPr>
          <w:rFonts w:ascii="Times New Roman" w:cs="Times New Roman" w:eastAsia="Times New Roman" w:hAnsi="Times New Roman"/>
          <w:sz w:val="18"/>
          <w:szCs w:val="18"/>
          <w:color w:val="auto"/>
        </w:rPr>
        <w:t>” means the market specified as such in the applicable Reference Rate Terms.</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Clauses 18.1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to 18.4 (</w:t>
      </w: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18.6 (</w:t>
      </w:r>
      <w:r>
        <w:rPr>
          <w:rFonts w:ascii="Times New Roman" w:cs="Times New Roman" w:eastAsia="Times New Roman" w:hAnsi="Times New Roman"/>
          <w:sz w:val="18"/>
          <w:szCs w:val="18"/>
          <w:i w:val="1"/>
          <w:iCs w:val="1"/>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and enforcement</w:t>
      </w:r>
      <w:r>
        <w:rPr>
          <w:rFonts w:ascii="Times New Roman" w:cs="Times New Roman" w:eastAsia="Times New Roman" w:hAnsi="Times New Roman"/>
          <w:sz w:val="18"/>
          <w:szCs w:val="18"/>
          <w:color w:val="auto"/>
        </w:rPr>
        <w:t>), 18.10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paragraphs (a) and (b) of 18.12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18.14 (</w:t>
      </w:r>
      <w:r>
        <w:rPr>
          <w:rFonts w:ascii="Times New Roman" w:cs="Times New Roman" w:eastAsia="Times New Roman" w:hAnsi="Times New Roman"/>
          <w:sz w:val="18"/>
          <w:szCs w:val="18"/>
          <w:i w:val="1"/>
          <w:iCs w:val="1"/>
          <w:color w:val="auto"/>
        </w:rPr>
        <w:t>No proceedings</w:t>
      </w:r>
      <w:r>
        <w:rPr>
          <w:rFonts w:ascii="Times New Roman" w:cs="Times New Roman" w:eastAsia="Times New Roman" w:hAnsi="Times New Roman"/>
          <w:sz w:val="18"/>
          <w:szCs w:val="18"/>
          <w:color w:val="auto"/>
        </w:rPr>
        <w:t>), 18.18 (</w:t>
      </w:r>
      <w:r>
        <w:rPr>
          <w:rFonts w:ascii="Times New Roman" w:cs="Times New Roman" w:eastAsia="Times New Roman" w:hAnsi="Times New Roman"/>
          <w:sz w:val="18"/>
          <w:szCs w:val="18"/>
          <w:i w:val="1"/>
          <w:iCs w:val="1"/>
          <w:color w:val="auto"/>
        </w:rPr>
        <w:t>Anti-corruption laws and Anti-Money Laundering Laws</w:t>
      </w:r>
      <w:r>
        <w:rPr>
          <w:rFonts w:ascii="Times New Roman" w:cs="Times New Roman" w:eastAsia="Times New Roman" w:hAnsi="Times New Roman"/>
          <w:sz w:val="18"/>
          <w:szCs w:val="18"/>
          <w:color w:val="auto"/>
        </w:rPr>
        <w:t>) and 18.21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Day</w:t>
      </w:r>
      <w:r>
        <w:rPr>
          <w:rFonts w:ascii="Times New Roman" w:cs="Times New Roman" w:eastAsia="Times New Roman" w:hAnsi="Times New Roman"/>
          <w:sz w:val="18"/>
          <w:szCs w:val="18"/>
          <w:color w:val="auto"/>
        </w:rPr>
        <w:t>” means the day (if any)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Time</w:t>
      </w:r>
      <w:r>
        <w:rPr>
          <w:rFonts w:ascii="Times New Roman" w:cs="Times New Roman" w:eastAsia="Times New Roman" w:hAnsi="Times New Roman"/>
          <w:sz w:val="18"/>
          <w:szCs w:val="18"/>
          <w:color w:val="auto"/>
        </w:rPr>
        <w:t>” means the relevant time (if any) specified as such in the applicable Reference Rate Terms.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any delegate, agent, manager, administrator, nominee, attorney, trustee or custodian.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Letter</w:t>
      </w:r>
      <w:r>
        <w:rPr>
          <w:rFonts w:ascii="Times New Roman" w:cs="Times New Roman" w:eastAsia="Times New Roman" w:hAnsi="Times New Roman"/>
          <w:sz w:val="18"/>
          <w:szCs w:val="18"/>
          <w:color w:val="auto"/>
        </w:rPr>
        <w:t>” means a letter substantially in the form set out in Schedule 7 (</w:t>
      </w:r>
      <w:r>
        <w:rPr>
          <w:rFonts w:ascii="Times New Roman" w:cs="Times New Roman" w:eastAsia="Times New Roman" w:hAnsi="Times New Roman"/>
          <w:sz w:val="18"/>
          <w:szCs w:val="18"/>
          <w:i w:val="1"/>
          <w:iCs w:val="1"/>
          <w:color w:val="auto"/>
        </w:rPr>
        <w:t>Form of Resignation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Loan</w:t>
      </w:r>
      <w:r>
        <w:rPr>
          <w:rFonts w:ascii="Times New Roman" w:cs="Times New Roman" w:eastAsia="Times New Roman" w:hAnsi="Times New Roman"/>
          <w:sz w:val="18"/>
          <w:szCs w:val="18"/>
          <w:color w:val="auto"/>
        </w:rPr>
        <w:t>” means one or more Loans:</w:t>
      </w:r>
    </w:p>
    <w:p>
      <w:pPr>
        <w:spacing w:after="0" w:line="229" w:lineRule="exact"/>
        <w:rPr>
          <w:sz w:val="20"/>
          <w:szCs w:val="20"/>
          <w:color w:val="auto"/>
        </w:rPr>
      </w:pPr>
    </w:p>
    <w:p>
      <w:pPr>
        <w:ind w:left="644" w:hanging="644"/>
        <w:spacing w:after="0"/>
        <w:tabs>
          <w:tab w:leader="none" w:pos="6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on the same day that one or more maturing Loans is or are due to be repaid;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which is equal to or less than the amount of the maturing Loan(s);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currency as the maturing Loan(s);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to the same Borrower for the purpose of refinancing the maturing Loan(s).</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economic or financial sanctions, trade embargoes or other similar restrictive measures imposed, enacted, administered or enforced from time to time by any Sanctions Authority.</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34" w:name="page235"/>
    <w:bookmarkEnd w:id="234"/>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line="282" w:lineRule="auto"/>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(including the US Department of State, the US Department of Commerce and the US Department of the Treasury (including the Office of Foreign Assets Control));</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 government (including H.M. Treasury and the Foreign, Commonwealth &amp; Development Office);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Israel (including the Israeli Ministry of Finance and the Israeli Ministry of Defence);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Nations Security Council; or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(or any of its member states),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including, in each case, any other governmental institution or agency of the foregoing.</w:t>
      </w:r>
    </w:p>
    <w:p>
      <w:pPr>
        <w:spacing w:after="0" w:line="22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Restricted Person</w:t>
      </w:r>
      <w:r>
        <w:rPr>
          <w:rFonts w:ascii="Times New Roman" w:cs="Times New Roman" w:eastAsia="Times New Roman" w:hAnsi="Times New Roman"/>
          <w:sz w:val="18"/>
          <w:szCs w:val="18"/>
          <w:color w:val="auto"/>
        </w:rPr>
        <w:t>” means any person that is, or is owned or controlled (as such terms are interpreted in accordance with applicable Sanctions laws and regulations) by one or more persons that is, (a) publicly designated by a Sanctions Authority to be the target of Sanctions, (b) a citizen of, located or resident in, or incorporated or organised under the laws of a country or territory that is the target of country-wide or territory-wide Sanctions or (c) otherwise the target of Sanctions.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Separate Loan</w:t>
      </w:r>
      <w:r>
        <w:rPr>
          <w:rFonts w:ascii="Times New Roman" w:cs="Times New Roman" w:eastAsia="Times New Roman" w:hAnsi="Times New Roman"/>
          <w:sz w:val="18"/>
          <w:szCs w:val="18"/>
          <w:color w:val="auto"/>
        </w:rPr>
        <w:t>” has the meaning given to that term in Clause 6.1 (</w:t>
      </w:r>
      <w:r>
        <w:rPr>
          <w:rFonts w:ascii="Times New Roman" w:cs="Times New Roman" w:eastAsia="Times New Roman" w:hAnsi="Times New Roman"/>
          <w:sz w:val="18"/>
          <w:szCs w:val="18"/>
          <w:i w:val="1"/>
          <w:iCs w:val="1"/>
          <w:color w:val="auto"/>
        </w:rPr>
        <w:t>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means a day or time determined in accordance with Schedule 9 (</w:t>
      </w:r>
      <w:r>
        <w:rPr>
          <w:rFonts w:ascii="Times New Roman" w:cs="Times New Roman" w:eastAsia="Times New Roman" w:hAnsi="Times New Roman"/>
          <w:sz w:val="18"/>
          <w:szCs w:val="18"/>
          <w:i w:val="1"/>
          <w:iCs w:val="1"/>
          <w:color w:val="auto"/>
        </w:rPr>
        <w:t>Timetables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(referred to as the “</w:t>
      </w:r>
      <w:r>
        <w:rPr>
          <w:rFonts w:ascii="Times New Roman" w:cs="Times New Roman" w:eastAsia="Times New Roman" w:hAnsi="Times New Roman"/>
          <w:sz w:val="18"/>
          <w:szCs w:val="18"/>
          <w:b w:val="1"/>
          <w:bCs w:val="1"/>
          <w:color w:val="auto"/>
        </w:rPr>
        <w:t>first person</w:t>
      </w:r>
      <w:r>
        <w:rPr>
          <w:rFonts w:ascii="Times New Roman" w:cs="Times New Roman" w:eastAsia="Times New Roman" w:hAnsi="Times New Roman"/>
          <w:sz w:val="18"/>
          <w:szCs w:val="18"/>
          <w:color w:val="auto"/>
        </w:rPr>
        <w:t>”) in respect of which another person (referred to as the “</w:t>
      </w:r>
      <w:r>
        <w:rPr>
          <w:rFonts w:ascii="Times New Roman" w:cs="Times New Roman" w:eastAsia="Times New Roman" w:hAnsi="Times New Roman"/>
          <w:sz w:val="18"/>
          <w:szCs w:val="18"/>
          <w:b w:val="1"/>
          <w:bCs w:val="1"/>
          <w:color w:val="auto"/>
        </w:rPr>
        <w:t>second person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4" w:hanging="644"/>
        <w:spacing w:after="0"/>
        <w:tabs>
          <w:tab w:leader="none" w:pos="6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power (whether by way of ownership of shares, proxy, contract, agency or otherwise) to:</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or control the casting of, more than 50 per cent. of the maximum number of votes that might be cast at a general meeting of the first person;</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all, or the majority, of the directors or other equivalent officers of the first person; or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with respect to the operating and financial policies of the first person with which the directors or other equivalent officers of the first person are obliged to comply;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beneficially more than 50 per cent. of the issued share capital of the first person (excluding any part of that issued share capital that carries no right to participate beyond a specified amount in a distribution of either profits or capital).</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35" w:name="page236"/>
    <w:bookmarkEnd w:id="235"/>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Reference Rate</w:t>
      </w:r>
      <w:r>
        <w:rPr>
          <w:rFonts w:ascii="Times New Roman" w:cs="Times New Roman" w:eastAsia="Times New Roman" w:hAnsi="Times New Roman"/>
          <w:sz w:val="18"/>
          <w:szCs w:val="18"/>
          <w:color w:val="auto"/>
        </w:rPr>
        <w:t>” means, in relation to a Loan:</w:t>
      </w:r>
    </w:p>
    <w:p>
      <w:pPr>
        <w:spacing w:after="0" w:line="229" w:lineRule="exact"/>
        <w:rPr>
          <w:sz w:val="20"/>
          <w:szCs w:val="20"/>
          <w:color w:val="auto"/>
        </w:rPr>
      </w:pPr>
    </w:p>
    <w:p>
      <w:pPr>
        <w:ind w:left="644" w:hanging="644"/>
        <w:spacing w:after="0"/>
        <w:tabs>
          <w:tab w:leader="none" w:pos="6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Primary Term Rate as of the Quotation Time for a period equal in length to the Interest Period of that Loan;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10.1 (Interest calculation if no Primary Term Rate), and if, in either case, that rate is less than zero, the Term Reference Rate shall be deemed to be zero.</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date falling three years after the date of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Commitments</w:t>
      </w:r>
      <w:r>
        <w:rPr>
          <w:rFonts w:ascii="Times New Roman" w:cs="Times New Roman" w:eastAsia="Times New Roman" w:hAnsi="Times New Roman"/>
          <w:sz w:val="18"/>
          <w:szCs w:val="18"/>
          <w:color w:val="auto"/>
        </w:rPr>
        <w:t>” means the aggregate of the Commitments, being U.S.$250,000,000 at the date of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Debt</w:t>
      </w:r>
      <w:r>
        <w:rPr>
          <w:rFonts w:ascii="Times New Roman" w:cs="Times New Roman" w:eastAsia="Times New Roman" w:hAnsi="Times New Roman"/>
          <w:sz w:val="18"/>
          <w:szCs w:val="18"/>
          <w:color w:val="auto"/>
        </w:rPr>
        <w:t>” has the meaning given to that term in Clause 20.1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Instruments</w:t>
      </w:r>
      <w:r>
        <w:rPr>
          <w:rFonts w:ascii="Times New Roman" w:cs="Times New Roman" w:eastAsia="Times New Roman" w:hAnsi="Times New Roman"/>
          <w:sz w:val="18"/>
          <w:szCs w:val="18"/>
          <w:color w:val="auto"/>
        </w:rPr>
        <w:t>” means any performance bonds, advance payment bonds or documentary letters of credit issued in respect of the obligations of any member of the Group arising in the ordinary course of trading of that member of the Group.</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 certificate substantially in the form set out in Schedule 4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Agent and the Company.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a transfer, the later of:</w:t>
      </w:r>
    </w:p>
    <w:p>
      <w:pPr>
        <w:spacing w:after="0" w:line="229" w:lineRule="exact"/>
        <w:rPr>
          <w:sz w:val="20"/>
          <w:szCs w:val="20"/>
          <w:color w:val="auto"/>
        </w:rPr>
      </w:pPr>
    </w:p>
    <w:p>
      <w:pPr>
        <w:ind w:left="644" w:hanging="644"/>
        <w:spacing w:after="0"/>
        <w:tabs>
          <w:tab w:leader="none" w:pos="6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relevant Assignment Agreement or Transfer Certificate;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relevant Assignment Agreement or Transfer Certificate.</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Transactions</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Obligor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44" w:hanging="644"/>
        <w:spacing w:after="0"/>
        <w:tabs>
          <w:tab w:leader="none" w:pos="6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which is resident for tax purposes in the US; or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some or all of whose payments under the Finance Documents are from sources within the US for US federal income tax purposes.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utilisation of a Facility.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of a Utilisation, being the date on which the relevant Loan is to be made.</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3 (</w:t>
      </w:r>
      <w:r>
        <w:rPr>
          <w:rFonts w:ascii="Times New Roman" w:cs="Times New Roman" w:eastAsia="Times New Roman" w:hAnsi="Times New Roman"/>
          <w:sz w:val="18"/>
          <w:szCs w:val="18"/>
          <w:i w:val="1"/>
          <w:iCs w:val="1"/>
          <w:color w:val="auto"/>
        </w:rPr>
        <w:t>Utilisation Request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by the Value Added Tax Act 1994;</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BVI, the State of Israel or in a member state of the European Union in substitution for, or levied in addition to, such tax referred to in paragraphs (a) or (b) above or imposed elsewhere.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229" w:lineRule="exact"/>
        <w:rPr>
          <w:sz w:val="20"/>
          <w:szCs w:val="20"/>
          <w:color w:val="auto"/>
        </w:rPr>
      </w:pPr>
    </w:p>
    <w:p>
      <w:pPr>
        <w:ind w:left="1300" w:hanging="64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221"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or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shall be construed so as to include its successors in title, permitted assigns and permitted transferees to, or of, its rights and/or obligations under the Finance Documents;</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color w:val="auto"/>
        </w:rPr>
        <w:t>” in relation to its participation in a Loan is a reference to the average cost (determined either on an actual or a notional basis) which that Lender would incur if it were to fund, from whatever source(s) it may reasonably select, an amount equal to the amount of that participation in that Loan for a period equal in length to the Interest Period of that Loan;</w:t>
      </w:r>
    </w:p>
    <w:p>
      <w:pPr>
        <w:spacing w:after="0" w:line="170"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w:t>
      </w:r>
      <w:r>
        <w:rPr>
          <w:rFonts w:ascii="Times New Roman" w:cs="Times New Roman" w:eastAsia="Times New Roman" w:hAnsi="Times New Roman"/>
          <w:sz w:val="18"/>
          <w:szCs w:val="18"/>
          <w:b w:val="1"/>
          <w:bCs w:val="1"/>
          <w:color w:val="auto"/>
        </w:rPr>
        <w:t>cost of funds</w:t>
      </w:r>
      <w:r>
        <w:rPr>
          <w:rFonts w:ascii="Times New Roman" w:cs="Times New Roman" w:eastAsia="Times New Roman" w:hAnsi="Times New Roman"/>
          <w:sz w:val="18"/>
          <w:szCs w:val="18"/>
          <w:color w:val="auto"/>
        </w:rPr>
        <w:t>” is a reference to the average cost (determined either on an actual or a notional basis) which the Agent would incur if it were to fund, from whatever source(s) it may reasonably select, an amount equal to the amount referred to in paragraph (b) of Clause 28.4 (</w:t>
      </w:r>
      <w:r>
        <w:rPr>
          <w:rFonts w:ascii="Times New Roman" w:cs="Times New Roman" w:eastAsia="Times New Roman" w:hAnsi="Times New Roman"/>
          <w:sz w:val="18"/>
          <w:szCs w:val="18"/>
          <w:i w:val="1"/>
          <w:iCs w:val="1"/>
          <w:color w:val="auto"/>
        </w:rPr>
        <w:t>Clawback and pre-funding</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1960" w:hanging="656"/>
        <w:spacing w:after="0" w:line="262"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any other agreement or instrument is a reference to that Finance Document or other agreement or instrument as amended, novated, supplemented, extended, restated (however fundamentally and whether or not more onerously) or replaced and includes any change in the purpose of, any extension of or any increase in any facility or the addition of any new facility under that Finance Document or other agreement or instrument;</w:t>
      </w:r>
    </w:p>
    <w:p>
      <w:pPr>
        <w:spacing w:after="0" w:line="17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group of Lenders</w:t>
      </w:r>
      <w:r>
        <w:rPr>
          <w:rFonts w:ascii="Times New Roman" w:cs="Times New Roman" w:eastAsia="Times New Roman" w:hAnsi="Times New Roman"/>
          <w:sz w:val="18"/>
          <w:szCs w:val="18"/>
          <w:color w:val="auto"/>
        </w:rPr>
        <w:t>” includes all the Lenders;</w:t>
      </w:r>
    </w:p>
    <w:p>
      <w:pPr>
        <w:spacing w:after="0" w:line="22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154" w:lineRule="exact"/>
        <w:rPr>
          <w:rFonts w:ascii="Times New Roman" w:cs="Times New Roman" w:eastAsia="Times New Roman" w:hAnsi="Times New Roman"/>
          <w:sz w:val="18"/>
          <w:szCs w:val="18"/>
          <w:color w:val="auto"/>
        </w:rPr>
      </w:pPr>
    </w:p>
    <w:p>
      <w:pPr>
        <w:ind w:left="1960" w:right="20" w:hanging="656"/>
        <w:spacing w:after="0" w:line="286" w:lineRule="auto"/>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left="1960" w:hanging="656"/>
        <w:spacing w:after="0" w:line="268" w:lineRule="auto"/>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 from time to time;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London time.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 and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waived.</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page or screen of an information service displaying a rate shall include: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page of that information service which displays that rate;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page of such other information service which displays that rate from time to time in place of that information service,</w:t>
      </w:r>
    </w:p>
    <w:p>
      <w:pPr>
        <w:spacing w:after="0" w:line="152" w:lineRule="exact"/>
        <w:rPr>
          <w:sz w:val="20"/>
          <w:szCs w:val="20"/>
          <w:color w:val="auto"/>
        </w:rPr>
      </w:pPr>
    </w:p>
    <w:p>
      <w:pPr>
        <w:ind w:left="1300" w:right="520"/>
        <w:spacing w:after="0" w:line="258" w:lineRule="auto"/>
        <w:rPr>
          <w:sz w:val="20"/>
          <w:szCs w:val="20"/>
          <w:color w:val="auto"/>
        </w:rPr>
      </w:pPr>
      <w:r>
        <w:rPr>
          <w:rFonts w:ascii="Times New Roman" w:cs="Times New Roman" w:eastAsia="Times New Roman" w:hAnsi="Times New Roman"/>
          <w:sz w:val="22"/>
          <w:szCs w:val="22"/>
          <w:color w:val="auto"/>
        </w:rPr>
        <w:t>and, if such page or service ceases to be available, shall include any other page or service displaying that rate specified by the Agent after consultation with the Company.</w:t>
      </w:r>
    </w:p>
    <w:p>
      <w:pPr>
        <w:spacing w:after="0" w:line="194"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this Agreement to a Central Bank Rate shall include any successor rate to, or replacement rate for, that 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Rate Supplement overrides anything in:</w:t>
      </w:r>
    </w:p>
    <w:p>
      <w:pPr>
        <w:spacing w:after="0" w:line="223" w:lineRule="exact"/>
        <w:rPr>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11 (</w:t>
      </w:r>
      <w:r>
        <w:rPr>
          <w:rFonts w:ascii="Times New Roman" w:cs="Times New Roman" w:eastAsia="Times New Roman" w:hAnsi="Times New Roman"/>
          <w:sz w:val="18"/>
          <w:szCs w:val="18"/>
          <w:i w:val="1"/>
          <w:iCs w:val="1"/>
          <w:color w:val="auto"/>
        </w:rPr>
        <w:t>Reference Rate Terms</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earlier Reference Rate Supplement.</w:t>
      </w:r>
    </w:p>
    <w:p>
      <w:pPr>
        <w:spacing w:after="0" w:line="221" w:lineRule="exact"/>
        <w:rPr>
          <w:sz w:val="20"/>
          <w:szCs w:val="20"/>
          <w:color w:val="auto"/>
        </w:rPr>
      </w:pPr>
    </w:p>
    <w:p>
      <w:pPr>
        <w:ind w:left="1300" w:hanging="644"/>
        <w:spacing w:after="0" w:line="286" w:lineRule="auto"/>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extent to which a rate is “</w:t>
      </w:r>
      <w:r>
        <w:rPr>
          <w:rFonts w:ascii="Times New Roman" w:cs="Times New Roman" w:eastAsia="Times New Roman" w:hAnsi="Times New Roman"/>
          <w:sz w:val="18"/>
          <w:szCs w:val="18"/>
          <w:b w:val="1"/>
          <w:bCs w:val="1"/>
          <w:color w:val="auto"/>
        </w:rPr>
        <w:t>for a period equal in length</w:t>
      </w:r>
      <w:r>
        <w:rPr>
          <w:rFonts w:ascii="Times New Roman" w:cs="Times New Roman" w:eastAsia="Times New Roman" w:hAnsi="Times New Roman"/>
          <w:sz w:val="18"/>
          <w:szCs w:val="18"/>
          <w:color w:val="auto"/>
        </w:rPr>
        <w:t>” to an Interest Period shall disregard any inconsistency arising from the last day of that Interest Period being determined pursuant to the terms of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denote the lawful currency of the United States of America.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229" w:lineRule="exact"/>
        <w:rPr>
          <w:sz w:val="20"/>
          <w:szCs w:val="20"/>
          <w:color w:val="auto"/>
        </w:rPr>
      </w:pPr>
    </w:p>
    <w:p>
      <w:pPr>
        <w:ind w:left="130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to enjoy the benefit of any term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of any Finance Document, the consent of any person who is not a Party is not required to rescind or vary this Agreement at any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8" w:name="page239"/>
    <w:bookmarkEnd w:id="23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Israeli insolvency terms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this Agreement, where it relates to a person incorporated or having its centre of main interests in Israel, a reference to insolvency, bankruptcy, liquidation, receivership, administration, reorganisation, moratorium, dissolution, winding-up, relief of debtors, or similar proceedings in respect of such person hereunder shall also include proceedings under the laws of the State of Israel, including a decision or order relating to:</w:t>
      </w:r>
    </w:p>
    <w:p>
      <w:pPr>
        <w:spacing w:after="0" w:line="176" w:lineRule="exact"/>
        <w:rPr>
          <w:sz w:val="20"/>
          <w:szCs w:val="20"/>
          <w:color w:val="auto"/>
        </w:rPr>
      </w:pPr>
    </w:p>
    <w:p>
      <w:pPr>
        <w:ind w:left="130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winding-up, dissolution, administration or a debt arrangement, as such terms are understood under the Israeli Companies Law and the Israeli Insolvency Law;</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or trustee or other authorised functionary (“</w:t>
      </w:r>
      <w:r>
        <w:rPr>
          <w:rFonts w:ascii="Times New Roman" w:cs="Times New Roman" w:eastAsia="Times New Roman" w:hAnsi="Times New Roman"/>
          <w:sz w:val="18"/>
          <w:szCs w:val="18"/>
          <w:i w:val="1"/>
          <w:iCs w:val="1"/>
          <w:color w:val="auto"/>
        </w:rPr>
        <w:t>baal tafkid</w:t>
      </w:r>
      <w:r>
        <w:rPr>
          <w:rFonts w:ascii="Times New Roman" w:cs="Times New Roman" w:eastAsia="Times New Roman" w:hAnsi="Times New Roman"/>
          <w:sz w:val="18"/>
          <w:szCs w:val="18"/>
          <w:color w:val="auto"/>
        </w:rPr>
        <w:t>”), as such term is understood under the Israeli Insolvency Law;</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reorganisation order, freeze order, stay of proceedings </w:t>
      </w:r>
      <w:r>
        <w:rPr>
          <w:rFonts w:ascii="Times New Roman" w:cs="Times New Roman" w:eastAsia="Times New Roman" w:hAnsi="Times New Roman"/>
          <w:sz w:val="18"/>
          <w:szCs w:val="18"/>
          <w:i w:val="1"/>
          <w:iCs w:val="1"/>
          <w:color w:val="auto"/>
        </w:rPr>
        <w:t>(“Ikuv Halichim</w:t>
      </w:r>
      <w:r>
        <w:rPr>
          <w:rFonts w:ascii="Times New Roman" w:cs="Times New Roman" w:eastAsia="Times New Roman" w:hAnsi="Times New Roman"/>
          <w:sz w:val="18"/>
          <w:szCs w:val="18"/>
          <w:color w:val="auto"/>
        </w:rPr>
        <w:t>”) (or other similar remedy), protection from creditors, relief of debtors, an order for commencing proceedings (“</w:t>
      </w:r>
      <w:r>
        <w:rPr>
          <w:rFonts w:ascii="Times New Roman" w:cs="Times New Roman" w:eastAsia="Times New Roman" w:hAnsi="Times New Roman"/>
          <w:sz w:val="18"/>
          <w:szCs w:val="18"/>
          <w:i w:val="1"/>
          <w:iCs w:val="1"/>
          <w:color w:val="auto"/>
        </w:rPr>
        <w:t>Tzav Ptichat Halichim</w:t>
      </w:r>
      <w:r>
        <w:rPr>
          <w:rFonts w:ascii="Times New Roman" w:cs="Times New Roman" w:eastAsia="Times New Roman" w:hAnsi="Times New Roman"/>
          <w:sz w:val="18"/>
          <w:szCs w:val="18"/>
          <w:color w:val="auto"/>
        </w:rPr>
        <w:t>”), an order for financial rehabilitation (“</w:t>
      </w:r>
      <w:r>
        <w:rPr>
          <w:rFonts w:ascii="Times New Roman" w:cs="Times New Roman" w:eastAsia="Times New Roman" w:hAnsi="Times New Roman"/>
          <w:sz w:val="18"/>
          <w:szCs w:val="18"/>
          <w:i w:val="1"/>
          <w:iCs w:val="1"/>
          <w:color w:val="auto"/>
        </w:rPr>
        <w:t>Hafala Leshem Shikum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Calcali</w:t>
      </w:r>
      <w:r>
        <w:rPr>
          <w:rFonts w:ascii="Times New Roman" w:cs="Times New Roman" w:eastAsia="Times New Roman" w:hAnsi="Times New Roman"/>
          <w:sz w:val="18"/>
          <w:szCs w:val="18"/>
          <w:color w:val="auto"/>
        </w:rPr>
        <w:t>”) or an order for liquidation (“</w:t>
      </w:r>
      <w:r>
        <w:rPr>
          <w:rFonts w:ascii="Times New Roman" w:cs="Times New Roman" w:eastAsia="Times New Roman" w:hAnsi="Times New Roman"/>
          <w:sz w:val="18"/>
          <w:szCs w:val="18"/>
          <w:i w:val="1"/>
          <w:iCs w:val="1"/>
          <w:color w:val="auto"/>
        </w:rPr>
        <w:t>Tzav Piruk</w:t>
      </w:r>
      <w:r>
        <w:rPr>
          <w:rFonts w:ascii="Times New Roman" w:cs="Times New Roman" w:eastAsia="Times New Roman" w:hAnsi="Times New Roman"/>
          <w:sz w:val="18"/>
          <w:szCs w:val="18"/>
          <w:color w:val="auto"/>
        </w:rPr>
        <w:t>”); and/or</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 foreign proceeding with respect to an insolvency of a company (“</w:t>
      </w:r>
      <w:r>
        <w:rPr>
          <w:rFonts w:ascii="Times New Roman" w:cs="Times New Roman" w:eastAsia="Times New Roman" w:hAnsi="Times New Roman"/>
          <w:sz w:val="18"/>
          <w:szCs w:val="18"/>
          <w:i w:val="1"/>
          <w:iCs w:val="1"/>
          <w:color w:val="auto"/>
        </w:rPr>
        <w:t>Hakara be Halich Zar</w:t>
      </w:r>
      <w:r>
        <w:rPr>
          <w:rFonts w:ascii="Times New Roman" w:cs="Times New Roman" w:eastAsia="Times New Roman" w:hAnsi="Times New Roman"/>
          <w:sz w:val="18"/>
          <w:szCs w:val="18"/>
          <w:color w:val="auto"/>
        </w:rPr>
        <w:t>”), as such term is understood under the Israeli Insolvency Law.</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color w:val="auto"/>
        </w:rPr>
        <w:t>No personal liability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director, officer or employee of an Obligor or any other member of the Group shall be personally liable for:</w:t>
      </w:r>
    </w:p>
    <w:p>
      <w:pPr>
        <w:spacing w:after="0" w:line="225" w:lineRule="exact"/>
        <w:rPr>
          <w:sz w:val="20"/>
          <w:szCs w:val="20"/>
          <w:color w:val="auto"/>
        </w:rPr>
      </w:pPr>
    </w:p>
    <w:p>
      <w:pPr>
        <w:ind w:left="1300" w:hanging="644"/>
        <w:spacing w:after="0" w:line="282" w:lineRule="auto"/>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made by an Obligor or relevant member of the Group in any certificate or other document delivered to any Finance Party pursuant to the Finance Documents; or</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 Obligor of Clause 18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a result of fraud (in which case any liability of such individual shall be determined in accordance with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FACILITY</w:t>
      </w:r>
    </w:p>
    <w:p>
      <w:pPr>
        <w:spacing w:after="0" w:line="225"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FACILITY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The Facility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Subject to the terms of this Agreement, the Lenders make available to the Borrowers a U.S.dollar revolving loan facility in an aggregate amount equal to the Total Commitments.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Increase</w:t>
      </w:r>
    </w:p>
    <w:p>
      <w:pPr>
        <w:spacing w:after="0" w:line="229" w:lineRule="exact"/>
        <w:rPr>
          <w:sz w:val="20"/>
          <w:szCs w:val="20"/>
          <w:color w:val="auto"/>
        </w:rPr>
      </w:pPr>
    </w:p>
    <w:p>
      <w:pPr>
        <w:ind w:left="130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giving prior notice to the Agent by no later than the date falling 10 Business Days after the effective date of a cancellation of:</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Commitments of a Defaulting Lender in accordance with paragraph (a) of Clause 7.6 (</w:t>
      </w:r>
      <w:r>
        <w:rPr>
          <w:rFonts w:ascii="Times New Roman" w:cs="Times New Roman" w:eastAsia="Times New Roman" w:hAnsi="Times New Roman"/>
          <w:sz w:val="18"/>
          <w:szCs w:val="18"/>
          <w:i w:val="1"/>
          <w:iCs w:val="1"/>
          <w:color w:val="auto"/>
        </w:rPr>
        <w:t>Right of replacement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and cancellation in relation to a single Lender</w:t>
      </w:r>
      <w:r>
        <w:rPr>
          <w:rFonts w:ascii="Times New Roman" w:cs="Times New Roman" w:eastAsia="Times New Roman" w:hAnsi="Times New Roman"/>
          <w:sz w:val="18"/>
          <w:szCs w:val="18"/>
          <w:color w:val="auto"/>
        </w:rPr>
        <w:t>); or</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a Lender in accordance with:</w:t>
      </w:r>
    </w:p>
    <w:p>
      <w:pPr>
        <w:spacing w:after="0" w:line="22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Clause 7.6 (</w:t>
      </w:r>
      <w:r>
        <w:rPr>
          <w:rFonts w:ascii="Times New Roman" w:cs="Times New Roman" w:eastAsia="Times New Roman" w:hAnsi="Times New Roman"/>
          <w:sz w:val="18"/>
          <w:szCs w:val="18"/>
          <w:i w:val="1"/>
          <w:iCs w:val="1"/>
          <w:color w:val="auto"/>
        </w:rPr>
        <w:t>Right of replacement or repayment and cancellation in relation to a single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request that the Commitments be increased (and the Commitments shall be so increased) in an aggregate amount in U.S. dollars of up to the amount of the Available Commitments or Commitments so cancelled as follows:</w:t>
      </w:r>
    </w:p>
    <w:p>
      <w:pPr>
        <w:spacing w:after="0" w:line="158" w:lineRule="exact"/>
        <w:rPr>
          <w:sz w:val="20"/>
          <w:szCs w:val="20"/>
          <w:color w:val="auto"/>
        </w:rPr>
      </w:pPr>
    </w:p>
    <w:p>
      <w:pPr>
        <w:jc w:val="both"/>
        <w:ind w:left="1960" w:hanging="656"/>
        <w:spacing w:after="0" w:line="262" w:lineRule="auto"/>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Commitments will be assumed by one or more Eligible Institutions (each an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the other Lenders shall continue in full force and effect; and</w:t>
      </w:r>
    </w:p>
    <w:p>
      <w:pPr>
        <w:spacing w:after="0" w:line="22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Commitments shall take effect on the date specified by the Company in the notice referred to above or any later date on which the Agent executes an otherwise duly completed Increase Confirmation delivered to it by the relevant Increase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0" w:name="page241"/>
    <w:bookmarkEnd w:id="240"/>
    <w:p>
      <w:pPr>
        <w:jc w:val="both"/>
        <w:ind w:left="644" w:hanging="644"/>
        <w:spacing w:after="0" w:line="266"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on demand pay the Agent the amount of all costs and expenses (including legal fees) reasonably incurred by it in connection with any increase in Commitments under this Clause 2.2.</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shall, on the date upon which the increase takes effect, pay to the Agent (for its own account) a fee in an amount equal to the fee which would be payable under Clause 23.4 (</w:t>
      </w:r>
      <w:r>
        <w:rPr>
          <w:rFonts w:ascii="Times New Roman" w:cs="Times New Roman" w:eastAsia="Times New Roman" w:hAnsi="Times New Roman"/>
          <w:sz w:val="18"/>
          <w:szCs w:val="18"/>
          <w:i w:val="1"/>
          <w:iCs w:val="1"/>
          <w:color w:val="auto"/>
        </w:rPr>
        <w:t>Assignment or transfer fee</w:t>
      </w:r>
      <w:r>
        <w:rPr>
          <w:rFonts w:ascii="Times New Roman" w:cs="Times New Roman" w:eastAsia="Times New Roman" w:hAnsi="Times New Roman"/>
          <w:sz w:val="18"/>
          <w:szCs w:val="18"/>
          <w:color w:val="auto"/>
        </w:rPr>
        <w:t>) if the increase was a transfer pursuant to Clause 23.6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and if the Increase Lender was a New Lender.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to the Increase Lender a fee in the amount and at the times agreed between the Company and the Increase Lender in a letter between the Company and the Increase Lender setting out that fee. A reference in this Agreement to a Fee Letter shall include any letter referred to in this paragraph (g).</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spacing w:after="0" w:line="173"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23.5 (</w:t>
      </w:r>
      <w:r>
        <w:rPr>
          <w:rFonts w:ascii="Times New Roman" w:cs="Times New Roman" w:eastAsia="Times New Roman" w:hAnsi="Times New Roman"/>
          <w:sz w:val="18"/>
          <w:szCs w:val="18"/>
          <w:i w:val="1"/>
          <w:iCs w:val="1"/>
          <w:color w:val="auto"/>
        </w:rPr>
        <w:t>Limitation of responsibility of Existing Lenders</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this Clause 2.2 in relation to an Increase Lender as if references in that Clause to:</w:t>
      </w:r>
    </w:p>
    <w:p>
      <w:pPr>
        <w:spacing w:after="0" w:line="156"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were references to all the Lenders immediately prior to the relevant increase;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were references to that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1" w:name="page242"/>
    <w:bookmarkEnd w:id="24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specifically provided in the Finance Documents, separately enforce its rights under or in connection with the Finance Documents.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Borrower shall apply all amounts borrowed by it under the Facility towards the general corporate purposes of the Group (including funding of acquisitions, provided that not more than U.S.$25,000,000 of the principal amount of the Loans in aggregate may be used to fund acquisitions in any Financial Year).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660" w:hanging="652"/>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may deliver a Utilisation Request unless the Agent has received all of the documents and other evidence listed in Part I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form and substance satisfactory to the Agent. The Agent shall notify the Company and the Lenders promptly upon being so satisfied.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if on the date of the Utilisation Request and on the proposed</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Utilisation Date:</w:t>
      </w:r>
    </w:p>
    <w:p>
      <w:pPr>
        <w:spacing w:after="0" w:line="207" w:lineRule="exact"/>
        <w:rPr>
          <w:sz w:val="20"/>
          <w:szCs w:val="20"/>
          <w:color w:val="auto"/>
        </w:rPr>
      </w:pPr>
    </w:p>
    <w:p>
      <w:pPr>
        <w:ind w:left="1300" w:hanging="644"/>
        <w:spacing w:after="0" w:line="282"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Rollover Loan, no Event of Default is continuing or would result from the proposed Loan and, in the case of any other Loan, no Default is continuing or would result from the proposed Loan;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to be made by each Obligor are true in all material respects.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229" w:lineRule="exact"/>
        <w:rPr>
          <w:sz w:val="20"/>
          <w:szCs w:val="20"/>
          <w:color w:val="auto"/>
        </w:rPr>
      </w:pPr>
    </w:p>
    <w:p>
      <w:pPr>
        <w:ind w:left="1300" w:hanging="644"/>
        <w:spacing w:after="0"/>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may not deliver a Utilisation Request if as a result of the proposed Utilisation more than 10 Loans would be outstanding.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Separate Loan shall not be taken into account in this Clause 4.3.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UTILISATION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Borrower may utilise a Facility by delivery to the Agent of a duly completed Utilisation Request not later than the Specified Time.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229" w:lineRule="exact"/>
        <w:rPr>
          <w:sz w:val="20"/>
          <w:szCs w:val="20"/>
          <w:color w:val="auto"/>
        </w:rPr>
      </w:pPr>
    </w:p>
    <w:p>
      <w:pPr>
        <w:ind w:left="1300" w:hanging="64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is irrevocable and will not be regarded as having been duly completed unless: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applicable to that Facility;</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Interest Period complies with Clause 9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specifies the account and bank (which must be in the principal financial centre of the country of the currency of the Utilisation in which banks are open for general business on that day or London) to which the proceeds of the Utilisation are to be credited.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Loan may be requested in each Utilisation Request.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229" w:lineRule="exact"/>
        <w:rPr>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U.S. dollars.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of U.S.$5,000,000 or, if less, the Available Facility;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such that its principal amount is less than or equal to the Available Facility.</w:t>
      </w:r>
    </w:p>
    <w:p>
      <w:pPr>
        <w:spacing w:after="0" w:line="200" w:lineRule="exact"/>
        <w:rPr>
          <w:sz w:val="20"/>
          <w:szCs w:val="20"/>
          <w:color w:val="auto"/>
        </w:rPr>
      </w:pPr>
    </w:p>
    <w:p>
      <w:pPr>
        <w:spacing w:after="0" w:line="2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Lenders’ participation</w:t>
      </w:r>
    </w:p>
    <w:p>
      <w:pPr>
        <w:spacing w:after="0" w:line="227" w:lineRule="exact"/>
        <w:rPr>
          <w:sz w:val="20"/>
          <w:szCs w:val="20"/>
          <w:color w:val="auto"/>
        </w:rPr>
      </w:pPr>
    </w:p>
    <w:p>
      <w:pPr>
        <w:ind w:left="1300" w:hanging="644"/>
        <w:spacing w:after="0" w:line="284"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set out in this Agreement have been met and subject to Clause 6.1 (</w:t>
      </w:r>
      <w:r>
        <w:rPr>
          <w:rFonts w:ascii="Times New Roman" w:cs="Times New Roman" w:eastAsia="Times New Roman" w:hAnsi="Times New Roman"/>
          <w:sz w:val="18"/>
          <w:szCs w:val="18"/>
          <w:i w:val="1"/>
          <w:iCs w:val="1"/>
          <w:color w:val="auto"/>
        </w:rPr>
        <w:t>Repayment of Loans</w:t>
      </w:r>
      <w:r>
        <w:rPr>
          <w:rFonts w:ascii="Times New Roman" w:cs="Times New Roman" w:eastAsia="Times New Roman" w:hAnsi="Times New Roman"/>
          <w:sz w:val="18"/>
          <w:szCs w:val="18"/>
          <w:color w:val="auto"/>
        </w:rPr>
        <w:t>), each Lender shall make its participation in each Loan available by the Utilisation Date through its Facility Office.</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will be equal to the proportion borne by its Available Commitment to the Available Facility immediately prior to making the Loan.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each Lender of the amount of its participation in each Loan and, if different, the amount of that participation to be made available in accordance with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in each case by the Specified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Commitment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Commitments which, at that time, are unutilised shall be immediately cancelled at the end of the Availability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PREPAYMENT AND CANCELLATION</w:t>
      </w:r>
    </w:p>
    <w:p>
      <w:pPr>
        <w:spacing w:after="0" w:line="225" w:lineRule="exact"/>
        <w:rPr>
          <w:sz w:val="20"/>
          <w:szCs w:val="20"/>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Repayment of Loans</w:t>
      </w:r>
    </w:p>
    <w:p>
      <w:pPr>
        <w:spacing w:after="0" w:line="229" w:lineRule="exact"/>
        <w:rPr>
          <w:sz w:val="20"/>
          <w:szCs w:val="20"/>
          <w:color w:val="auto"/>
        </w:rPr>
      </w:pPr>
    </w:p>
    <w:p>
      <w:pPr>
        <w:ind w:left="1300" w:hanging="644"/>
        <w:spacing w:after="0"/>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which has drawn a Loan shall repay that Loan on the last day of its Interest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each Borrower’s obligation under paragraph (a) above, if one or more Loans are to be made available to a Borrower: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day that a maturing Loan is due to be repaid by that Borrower;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for the purpose of refinancing the maturing Loan,</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aggregate amount of the new Loans shall, unless the Company notifies the Agent to the contrary in the relevant Utilisation Request, be treated as if applied in or towards repayment of the maturing Loan so that:</w:t>
      </w:r>
    </w:p>
    <w:p>
      <w:pPr>
        <w:spacing w:after="0" w:line="162" w:lineRule="exact"/>
        <w:rPr>
          <w:sz w:val="20"/>
          <w:szCs w:val="20"/>
          <w:color w:val="auto"/>
        </w:rPr>
      </w:pPr>
    </w:p>
    <w:p>
      <w:pPr>
        <w:ind w:left="2600" w:hanging="648"/>
        <w:spacing w:after="0"/>
        <w:tabs>
          <w:tab w:leader="none" w:pos="26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exceeds the aggregate amount of the new Loans:</w:t>
      </w:r>
    </w:p>
    <w:p>
      <w:pPr>
        <w:spacing w:after="0" w:line="223" w:lineRule="exact"/>
        <w:rPr>
          <w:rFonts w:ascii="Times New Roman" w:cs="Times New Roman" w:eastAsia="Times New Roman" w:hAnsi="Times New Roman"/>
          <w:sz w:val="18"/>
          <w:szCs w:val="18"/>
          <w:color w:val="auto"/>
        </w:rPr>
      </w:pPr>
    </w:p>
    <w:p>
      <w:pPr>
        <w:ind w:left="3240" w:hanging="640"/>
        <w:spacing w:after="0" w:line="284" w:lineRule="auto"/>
        <w:tabs>
          <w:tab w:leader="none" w:pos="324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Borrower will only be required to make a payment under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in an amount equal to that excess; and</w:t>
      </w:r>
    </w:p>
    <w:p>
      <w:pPr>
        <w:spacing w:after="0" w:line="160" w:lineRule="exact"/>
        <w:rPr>
          <w:rFonts w:ascii="Times New Roman" w:cs="Times New Roman" w:eastAsia="Times New Roman" w:hAnsi="Times New Roman"/>
          <w:sz w:val="18"/>
          <w:szCs w:val="18"/>
          <w:color w:val="auto"/>
        </w:rPr>
      </w:pPr>
    </w:p>
    <w:p>
      <w:pPr>
        <w:jc w:val="both"/>
        <w:ind w:left="3240" w:hanging="640"/>
        <w:spacing w:after="0" w:line="261" w:lineRule="auto"/>
        <w:tabs>
          <w:tab w:leader="none" w:pos="324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in respect of its participation in the new Loans; and</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is equal to or less than the aggregate amount of the new Loans:</w:t>
      </w:r>
    </w:p>
    <w:p>
      <w:pPr>
        <w:spacing w:after="0" w:line="223"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Borrower will not be required to make a payment under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3240" w:hanging="640"/>
        <w:spacing w:after="0" w:line="258" w:lineRule="auto"/>
        <w:tabs>
          <w:tab w:leader="none" w:pos="324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be required to make a payment under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8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Lender becomes a Defaulting Lender, the maturity date of each of the participations of that Lender in the Loans then outstanding will be automatically extended to the Termination Date and will be treated as separate Loans (the “</w:t>
      </w:r>
      <w:r>
        <w:rPr>
          <w:rFonts w:ascii="Times New Roman" w:cs="Times New Roman" w:eastAsia="Times New Roman" w:hAnsi="Times New Roman"/>
          <w:sz w:val="18"/>
          <w:szCs w:val="18"/>
          <w:b w:val="1"/>
          <w:bCs w:val="1"/>
          <w:color w:val="auto"/>
        </w:rPr>
        <w:t>Separate Loans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makes a prepayment of a Loan pursuant to Clause 7.4 (</w:t>
      </w:r>
      <w:r>
        <w:rPr>
          <w:rFonts w:ascii="Times New Roman" w:cs="Times New Roman" w:eastAsia="Times New Roman" w:hAnsi="Times New Roman"/>
          <w:sz w:val="18"/>
          <w:szCs w:val="18"/>
          <w:i w:val="1"/>
          <w:iCs w:val="1"/>
          <w:color w:val="auto"/>
        </w:rPr>
        <w:t>Voluntary prepayment</w:t>
      </w:r>
      <w:r>
        <w:rPr>
          <w:rFonts w:ascii="Times New Roman" w:cs="Times New Roman" w:eastAsia="Times New Roman" w:hAnsi="Times New Roman"/>
          <w:sz w:val="18"/>
          <w:szCs w:val="18"/>
          <w:color w:val="auto"/>
        </w:rPr>
        <w:t>), a Borrower to whom a Separate Loan is outstanding may prepay that Loan by giving not less than five Business Days’ (or such shorter period as the Majority Lenders may agree) prior notice to the Agent.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4" w:name="page245"/>
    <w:bookmarkEnd w:id="244"/>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proportion borne by the amount of the prepayment of the Separate Loan to the amount of the Separate Loans shall not exceed the proportion borne by the amount of the prepayment of the Loan to the Loans. The Agent will forward a copy of a prepayment notice received in accordance with this paragraph (d) to the Defaulting Lender concerned as soon as practicable on receipt.</w:t>
      </w:r>
    </w:p>
    <w:p>
      <w:pPr>
        <w:spacing w:after="0" w:line="176" w:lineRule="exact"/>
        <w:rPr>
          <w:sz w:val="20"/>
          <w:szCs w:val="20"/>
          <w:color w:val="auto"/>
        </w:rPr>
      </w:pPr>
    </w:p>
    <w:p>
      <w:pPr>
        <w:jc w:val="both"/>
        <w:ind w:left="1300" w:hanging="644"/>
        <w:spacing w:after="0" w:line="266"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respect of a Separate Loan will accrue for successive Interest Periods agreed by the Borrower and the Agent by the time and date specified by the Agent (acting reasonably) and will be payable by that Borrower to the Agent (for the account of that Defaulting Lender) on the last day of each Interest Period of that Loan.</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relating to Loans generally shall continue to apply to Separate Loans other than to the extent inconsistent with paragraphs (c) to (e) above, in which case those paragraphs shall prevail in respect of any Separate Loan.</w:t>
      </w:r>
    </w:p>
    <w:p>
      <w:pPr>
        <w:spacing w:after="0" w:line="157"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 AND CANCELLATION</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162" w:lineRule="exact"/>
        <w:rPr>
          <w:sz w:val="20"/>
          <w:szCs w:val="20"/>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Company, each Available Commitment of that Lender will be immediately cancelled; and</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Lender’s participation has not been transferred pursuant to paragraph (d) of Clause 7.6 (</w:t>
      </w:r>
      <w:r>
        <w:rPr>
          <w:rFonts w:ascii="Times New Roman" w:cs="Times New Roman" w:eastAsia="Times New Roman" w:hAnsi="Times New Roman"/>
          <w:sz w:val="18"/>
          <w:szCs w:val="18"/>
          <w:i w:val="1"/>
          <w:iCs w:val="1"/>
          <w:color w:val="auto"/>
        </w:rPr>
        <w:t>Right of replacement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repayment and cancellation in relation to a single Lender</w:t>
      </w:r>
      <w:r>
        <w:rPr>
          <w:rFonts w:ascii="Times New Roman" w:cs="Times New Roman" w:eastAsia="Times New Roman" w:hAnsi="Times New Roman"/>
          <w:sz w:val="18"/>
          <w:szCs w:val="18"/>
          <w:color w:val="auto"/>
        </w:rPr>
        <w:t>), each Borrower shall repay that Lender’s participation in the Loans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Commitment(s) shall be immediately cancelled in the amount of the participations repaid.</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229" w:lineRule="exact"/>
        <w:rPr>
          <w:sz w:val="20"/>
          <w:szCs w:val="20"/>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or group of persons acting in concert gains control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the Agent upon becoming aware of that event;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be obliged to fund a Utilisation (except for a Rollover Loan);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so requires and notifies the Agent within 10 Business Days of the Company notifying the Agent of the event, the Agent shall, by not less than five days’ notice to the Company, cancel each Available Commitment of that Lender and declare the participation of that Lender in all Loans, together with accrued interest, and all other amounts accrued or outstanding under the Finance Documents immediately due and payable, whereupon each such Available Commitment will be immediately cancelled, any Commitment of that Lender shall immediately cease to be available for further Utilisation and all such Loans, accrued interest and other amounts shall become immediately due and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ind w:left="1300" w:hanging="644"/>
        <w:spacing w:after="0"/>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paragraph (a) above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(whether by way of ownership of shares, proxy, contract, agency or otherwise) to:</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or control the casting of, the majority of the maximum number of votes that might be cast at a general meeting of the Company;</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all, or the majority, of the directors or other equivalent officers of the Company; or</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with respect to the operating and financial policies of the Company with which the directors or other equivalent officers of the Company are obliged to comply; and/or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beneficially of 30 per cent. of the issued share capital of the Company (excluding any part of that issued share capital that carries no right to participate beyond a specified amount in a distribution of either profits or capital).</w:t>
      </w:r>
    </w:p>
    <w:p>
      <w:pPr>
        <w:spacing w:after="0" w:line="158" w:lineRule="exact"/>
        <w:rPr>
          <w:sz w:val="20"/>
          <w:szCs w:val="20"/>
          <w:color w:val="auto"/>
        </w:rPr>
      </w:pPr>
    </w:p>
    <w:p>
      <w:pPr>
        <w:ind w:left="1300" w:right="20" w:hanging="644"/>
        <w:spacing w:after="0" w:line="286"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paragraph (a) above “</w:t>
      </w:r>
      <w:r>
        <w:rPr>
          <w:rFonts w:ascii="Times New Roman" w:cs="Times New Roman" w:eastAsia="Times New Roman" w:hAnsi="Times New Roman"/>
          <w:sz w:val="18"/>
          <w:szCs w:val="18"/>
          <w:b w:val="1"/>
          <w:bCs w:val="1"/>
          <w:color w:val="auto"/>
        </w:rPr>
        <w:t>acting in concert</w:t>
      </w:r>
      <w:r>
        <w:rPr>
          <w:rFonts w:ascii="Times New Roman" w:cs="Times New Roman" w:eastAsia="Times New Roman" w:hAnsi="Times New Roman"/>
          <w:sz w:val="18"/>
          <w:szCs w:val="18"/>
          <w:color w:val="auto"/>
        </w:rPr>
        <w:t>” means a group who, pursuant to an agreement or understanding (whether formal or informal), co-operate to obtain or consolidate control of, or to consolidate their interests in, the Company.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Specified Acquisition</w:t>
      </w:r>
    </w:p>
    <w:p>
      <w:pPr>
        <w:spacing w:after="0" w:line="229" w:lineRule="exact"/>
        <w:rPr>
          <w:sz w:val="20"/>
          <w:szCs w:val="20"/>
          <w:color w:val="auto"/>
        </w:rPr>
      </w:pPr>
    </w:p>
    <w:p>
      <w:pPr>
        <w:ind w:left="1300" w:hanging="644"/>
        <w:spacing w:after="0"/>
        <w:tabs>
          <w:tab w:leader="none" w:pos="13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of the Group enters into an agreement in relation to a Specified Acquisition: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(and in any case at least 30 days before completion of that Specified Acquisition) notify the Agent of, and provide reasonable details about, that Specified Acquisition, including, without limitation, the identity and business of the company, business or undertaking being acquired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be obliged to fund a Utilisation (except for a Rollover Loan);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so requires and notifies the Agent within 10 Business Days of the Company notifying the Agent of the event, the Agent shall, by not less than five days’ notice to the Company, cancel each Available Commitment of that Lender and, with effect from completion of that Specified Acquisition, declare the participation of that Lender in all Loans, together with accrued interest, and all other amounts accrued or outstanding under the Finance Documents immediately due and payable, and upon completion of that Specified Acquisition, each such Available Commitment will be immediately cancelled, any Commitment of that Lender shall immediately cease to be available for further Utilisation and all such Loans, accrued interest and other amounts shall become immediately due and payable.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6" w:name="page247"/>
    <w:bookmarkEnd w:id="246"/>
    <w:p>
      <w:pPr>
        <w:jc w:val="both"/>
        <w:ind w:left="1300" w:hanging="644"/>
        <w:spacing w:after="0" w:line="26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paragraph (a) above “</w:t>
      </w:r>
      <w:r>
        <w:rPr>
          <w:rFonts w:ascii="Times New Roman" w:cs="Times New Roman" w:eastAsia="Times New Roman" w:hAnsi="Times New Roman"/>
          <w:sz w:val="18"/>
          <w:szCs w:val="18"/>
          <w:b w:val="1"/>
          <w:bCs w:val="1"/>
          <w:color w:val="auto"/>
        </w:rPr>
        <w:t>Specified Acquisition</w:t>
      </w:r>
      <w:r>
        <w:rPr>
          <w:rFonts w:ascii="Times New Roman" w:cs="Times New Roman" w:eastAsia="Times New Roman" w:hAnsi="Times New Roman"/>
          <w:sz w:val="18"/>
          <w:szCs w:val="18"/>
          <w:color w:val="auto"/>
        </w:rPr>
        <w:t>” means any acquisition by a member of the Group of a company (or any shares in a company) or a business (or, in each case, any interest in any of them) the consideration (including associated costs and expenses) for which, together with any Financial Indebtedness or other associated actual or contingent liabilities, in each case remaining in the acquired company or business, exceeds U.S.$500,000,000 (or its equivalent in another currency or currencies).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may, if it gives the Agent not less than five Business Days’ (or such shorter period as the Majority Lenders may agree) prior notice, cancel the whole or any part (being a minimum amount of U.S.$5,000,000) of the Available Facility. Any cancellation under this Clause 7.3 shall reduce the Commitments of the Lenders rateably.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Borrower to which a Loan has been made may, if it gives the Agent not less than five Business Days’ (or such shorter period as the Majority Lenders may agree) prior notice prepay the whole or any part of any Loan (but, if in part, being an amount that reduces the Loan by a minimum amount of U.S.$2,500,000).</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b w:val="1"/>
          <w:bCs w:val="1"/>
          <w:color w:val="auto"/>
        </w:rPr>
        <w:t>Right of replacement or repayment and cancellation in relation to a single Lender</w:t>
      </w:r>
    </w:p>
    <w:p>
      <w:pPr>
        <w:spacing w:after="0" w:line="229"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paragraph (c) of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the Company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may, whilst the circumstance giving rise to the requirement for that increase or indemnification continues, give the Agent notice of cancellation of the Commitment(s) of that Lender and its intention to procure the repayment of that Lender’s participation in the Loans or give the Agent notice of its intention to replace that Lender in accordance with paragraph (d) below.</w:t>
      </w:r>
    </w:p>
    <w:p>
      <w:pPr>
        <w:spacing w:after="0" w:line="176" w:lineRule="exact"/>
        <w:rPr>
          <w:sz w:val="20"/>
          <w:szCs w:val="20"/>
          <w:color w:val="auto"/>
        </w:rPr>
      </w:pPr>
    </w:p>
    <w:p>
      <w:pPr>
        <w:ind w:left="1300" w:hanging="644"/>
        <w:spacing w:after="0" w:line="282"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notice of cancellation referred to in paragraph (a) above, the Available Commitment(s) of that Lender shall be immediately reduced to zero.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day of each Interest Period which ends after the Company has given notice of cancellation under paragraph (a) above (or, if earlier, the date specified by the Company in that notice), each Borrower to which a Loan is outstanding shall repay that Lender’s participation in that Loan and that Lender’s corresponding Commitment(s) shall be immediately cancelled in the amount of the participations repaid.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circumstances set out in paragraph (a) above apply to a Lender; or</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becomes obliged to pay any amount in accordance with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to any Lender,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7" w:name="page248"/>
    <w:bookmarkEnd w:id="247"/>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may, on 10 Business Days’ prior notice to the Agent and that Lender, replace that Lender by requiring that Lender to (and, to the extent permitted by law, that Lender shall) transfer pursuant to Clause 24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 to an Eligible Institution which confirms its willingness to assume and does assume all the obligations of the transferring Lender in accordance with Clause 24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for a purchase price in cash payable at the time of the transfer in an amount equal to the outstanding principal amount of such Lender’s participation in the outstanding Loans and all accrued interest (to the extent that the Agent has not given a notification under Clause 24.10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Break Costs and other amounts payable in relation thereto under the Finance Documents.</w:t>
      </w:r>
    </w:p>
    <w:p>
      <w:pPr>
        <w:spacing w:after="0" w:line="189" w:lineRule="exact"/>
        <w:rPr>
          <w:sz w:val="20"/>
          <w:szCs w:val="20"/>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Lender pursuant to paragraph (d) above shall be subject to the following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right to replace the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obligation to find a replacement Lender;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Lender replaced under paragraph (d) above be required to pay or surrender any of the fees received by such Lender pursuant to the Finance Documents;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perform the checks described in paragraph (e)(iv) above as soon as reasonably practicable following delivery of a notice referred to in paragraph (d) above and shall notify the Agent and the Company when it is satisfied that it has complied with those checks.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becomes a Defaulting Lender, the Company may, at any time whilst the Lender continues to be a Defaulting Lender, give the Agent 10 Business Days’ notice of cancellation of each Available Commitment of that Lender.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notice referred to in paragraph (g) above becoming effective, each Available Commitment of the Defaulting Lender shall be immediately reduced to zero.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as soon as practicable after receipt of a notice referred to in paragraph (g) above, notify all the Lenders.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b w:val="1"/>
          <w:bCs w:val="1"/>
          <w:color w:val="auto"/>
        </w:rPr>
        <w:t>Restrictions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this Agreement, any part of the Facility which is prepaid or repaid may be reborrowed in accordance with the terms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ind w:left="130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no amount of the Total Commitments cancelled under this Agreement may be subsequently reinstated.</w:t>
      </w:r>
    </w:p>
    <w:p>
      <w:pPr>
        <w:spacing w:after="0" w:line="22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notice under this Clause 7 it shall promptly forward a copy of that notice to either the Company or the affected Lender, as appropriate.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part of any Lender’s participation in a Loan under a Facility is repaid or prepaid and is not available for redrawing (other than by operation of Clause 4.2 (</w:t>
      </w:r>
      <w:r>
        <w:rPr>
          <w:rFonts w:ascii="Times New Roman" w:cs="Times New Roman" w:eastAsia="Times New Roman" w:hAnsi="Times New Roman"/>
          <w:sz w:val="18"/>
          <w:szCs w:val="18"/>
          <w:i w:val="1"/>
          <w:iCs w:val="1"/>
          <w:color w:val="auto"/>
        </w:rPr>
        <w:t>Further conditions precedent</w:t>
      </w:r>
      <w:r>
        <w:rPr>
          <w:rFonts w:ascii="Times New Roman" w:cs="Times New Roman" w:eastAsia="Times New Roman" w:hAnsi="Times New Roman"/>
          <w:sz w:val="18"/>
          <w:szCs w:val="18"/>
          <w:color w:val="auto"/>
        </w:rPr>
        <w:t>)), an amount of that Lender’s Commitment (equal to the amount of the participation which is repaid or prepaid) in respect of that Facility will be deemed to be cancelled on the date of repayment or prepayment.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b w:val="1"/>
          <w:bCs w:val="1"/>
          <w:color w:val="auto"/>
        </w:rPr>
        <w:t>Application of prepayments</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Any prepayment of a Loan pursuant to Clause 7.2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or Clause 7.5 (</w:t>
      </w:r>
      <w:r>
        <w:rPr>
          <w:rFonts w:ascii="Times New Roman" w:cs="Times New Roman" w:eastAsia="Times New Roman" w:hAnsi="Times New Roman"/>
          <w:sz w:val="18"/>
          <w:szCs w:val="18"/>
          <w:i w:val="1"/>
          <w:iCs w:val="1"/>
          <w:color w:val="auto"/>
        </w:rPr>
        <w:t>Voluntary prepayment</w:t>
      </w:r>
      <w:r>
        <w:rPr>
          <w:rFonts w:ascii="Times New Roman" w:cs="Times New Roman" w:eastAsia="Times New Roman" w:hAnsi="Times New Roman"/>
          <w:sz w:val="18"/>
          <w:szCs w:val="18"/>
          <w:color w:val="auto"/>
        </w:rPr>
        <w:t>) shall be applied pro rata to each Lender’s participation in that Loan.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COSTS OF UTILISATION</w:t>
      </w:r>
    </w:p>
    <w:p>
      <w:pPr>
        <w:spacing w:after="0" w:line="225" w:lineRule="exact"/>
        <w:rPr>
          <w:sz w:val="20"/>
          <w:szCs w:val="20"/>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rate of interest on each Loan for an Interest Period is the percentage rate per annum which is the aggregate of the applicable:</w:t>
      </w:r>
    </w:p>
    <w:p>
      <w:pPr>
        <w:spacing w:after="0" w:line="225" w:lineRule="exact"/>
        <w:rPr>
          <w:sz w:val="20"/>
          <w:szCs w:val="20"/>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Reference 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29" w:lineRule="exact"/>
        <w:rPr>
          <w:sz w:val="20"/>
          <w:szCs w:val="20"/>
          <w:color w:val="auto"/>
        </w:rPr>
      </w:pPr>
    </w:p>
    <w:p>
      <w:pPr>
        <w:ind w:left="1300" w:hanging="644"/>
        <w:spacing w:after="0"/>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to which a Loan has been made shall pay accrued interest on that Loan on the last day of each Interest Period.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Compliance Certificate received by the Agent which relates to the audited financial statements of the Group delivered pursuant to paragraph (a) of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shows that a higher Margin should have applied during a certain period, then the Company shall (or shall ensure the relevant Borrower shall) promptly pay to the Agent any amounts necessary to put the Agent and the Lenders in the position they would have been in had the appropriate rate of the Margin applied during such period.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paragraph (b) below, is the sum of 1 per cent per annum and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Obligor on demand by the Agent.</w:t>
      </w:r>
    </w:p>
    <w:p>
      <w:pPr>
        <w:spacing w:after="0" w:line="18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overdue amount consists of all or part of a Loan and which became due on a day which was not the last day of an Interest Period relating to that Loan: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that overdue amount shall have a duration equal to the unexpired portion of the current Interest Period relating to that Loan;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applying to the overdue amount during that first Interest Period shall be the sum of 1 per cent per annum and the rate which would have applied if the overdue amount had not become due.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Notifications</w:t>
      </w:r>
    </w:p>
    <w:p>
      <w:pPr>
        <w:spacing w:after="0" w:line="229" w:lineRule="exact"/>
        <w:rPr>
          <w:sz w:val="20"/>
          <w:szCs w:val="20"/>
          <w:color w:val="auto"/>
        </w:rPr>
      </w:pPr>
    </w:p>
    <w:p>
      <w:pPr>
        <w:ind w:left="1300" w:hanging="644"/>
        <w:spacing w:after="0" w:line="282" w:lineRule="auto"/>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relevant Lenders and the relevant Borrower of the determination of a rate of interest relating to a Loan.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relevant Borrower of each Funding Rate relating to a Loan.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8.4 shall not require the Agent to make any notification to any Party on a day which is not a Business Day.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0" w:name="page251"/>
    <w:bookmarkEnd w:id="250"/>
    <w:p>
      <w:pPr>
        <w:ind w:left="560" w:hanging="552"/>
        <w:spacing w:after="0"/>
        <w:tabs>
          <w:tab w:leader="none" w:pos="5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PERIODS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229" w:lineRule="exact"/>
        <w:rPr>
          <w:sz w:val="20"/>
          <w:szCs w:val="20"/>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(or the Company on behalf of a Borrower) may select an Interest Period for a Loan in the Utilisation Request for that Loan.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(or the Company) fails to select an Interest Period in the Utilisation Request for that Loan, the relevant Interest Period will be the period specified in the applicable Reference Rate Terms.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9, a Borrower (or the Company) may select an Interest Period of any period specified in the applicable Reference Rate Terms or of any other period agreed between the Company, the Agent and all the Lenders in relation to the relevant Loan.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a Loan shall not extend beyond the Termination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or (if already made) on the last day of its preceding Interest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has one Interest Period only.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be longer than six Months.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rules specified as “Business Day Conventions” in the applicable Reference Rate Terms for a Loan or Unpaid Sum shall apply to each Interest Period for that Loan or Unpaid Sum.</w:t>
      </w:r>
    </w:p>
    <w:p>
      <w:pPr>
        <w:spacing w:after="0" w:line="158" w:lineRule="exact"/>
        <w:rPr>
          <w:sz w:val="20"/>
          <w:szCs w:val="20"/>
          <w:color w:val="auto"/>
        </w:rPr>
      </w:pPr>
    </w:p>
    <w:p>
      <w:pPr>
        <w:ind w:left="560" w:hanging="552"/>
        <w:spacing w:after="0"/>
        <w:tabs>
          <w:tab w:leader="none" w:pos="5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CALCULATION OF INTEREST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Interest calculation if no Primary Term Rate</w:t>
      </w:r>
    </w:p>
    <w:p>
      <w:pPr>
        <w:spacing w:after="0" w:line="227" w:lineRule="exact"/>
        <w:rPr>
          <w:sz w:val="20"/>
          <w:szCs w:val="20"/>
          <w:color w:val="auto"/>
        </w:rPr>
      </w:pPr>
    </w:p>
    <w:p>
      <w:pPr>
        <w:ind w:left="1300" w:right="20" w:hanging="644"/>
        <w:spacing w:after="0" w:line="284"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Primary Term Rate</w:t>
      </w:r>
      <w:r>
        <w:rPr>
          <w:rFonts w:ascii="Times New Roman" w:cs="Times New Roman" w:eastAsia="Times New Roman" w:hAnsi="Times New Roman"/>
          <w:sz w:val="18"/>
          <w:szCs w:val="18"/>
          <w:color w:val="auto"/>
        </w:rPr>
        <w:t>: If no Primary Term Rate is available for the Interest Period of a Loan, the applicable Term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shall be the Interpolated Primary Term Rate for a period equal in length to the Interest Period of that Loan.</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w:t>
      </w:r>
      <w:r>
        <w:rPr>
          <w:rFonts w:ascii="Times New Roman" w:cs="Times New Roman" w:eastAsia="Times New Roman" w:hAnsi="Times New Roman"/>
          <w:sz w:val="18"/>
          <w:szCs w:val="18"/>
          <w:color w:val="auto"/>
        </w:rPr>
        <w:t>: If paragraph (a) above applies but it is not possible to calculate the Interpolated Primary Term Rate,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Period of the Loan shall (if it is longer than the applicable Fallback Interest Period) be shortened to the applicable Fallback Interest Period and the applicable Term Reference Rate shall be determined pursuant to the definition of “Term Reference Rate”.</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 and Historic Primary Term Rate</w:t>
      </w:r>
      <w:r>
        <w:rPr>
          <w:rFonts w:ascii="Times New Roman" w:cs="Times New Roman" w:eastAsia="Times New Roman" w:hAnsi="Times New Roman"/>
          <w:sz w:val="18"/>
          <w:szCs w:val="18"/>
          <w:color w:val="auto"/>
        </w:rPr>
        <w:t>: If paragraph (b) above applies but no Primary Term Rate is available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Period of that Loan and it is not possible to calculate the Interpolated Primary Term Rate, the applicable Term Reference Rate shall be the Historic Primary Term Rate for that Loan.</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Shortened Interest Period and Interpolated Historic Primary Term Rate</w:t>
      </w:r>
      <w:r>
        <w:rPr>
          <w:rFonts w:ascii="Times New Roman" w:cs="Times New Roman" w:eastAsia="Times New Roman" w:hAnsi="Times New Roman"/>
          <w:sz w:val="18"/>
          <w:szCs w:val="18"/>
          <w:color w:val="auto"/>
        </w:rPr>
        <w:t>: If paragraph (c) above applies but no Historic Primary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available for the Interest Period of the Loan, the applicable Term Reference Rate shall be the Interpolated Historic Primary Term Rate for a period equal in length to the Interest Period of that Loan.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p>
      <w:pPr>
        <w:jc w:val="both"/>
        <w:ind w:left="1300" w:hanging="644"/>
        <w:spacing w:after="0" w:line="261" w:lineRule="auto"/>
        <w:tabs>
          <w:tab w:leader="none" w:pos="13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Fallback Option</w:t>
      </w:r>
      <w:r>
        <w:rPr>
          <w:rFonts w:ascii="Times New Roman" w:cs="Times New Roman" w:eastAsia="Times New Roman" w:hAnsi="Times New Roman"/>
          <w:sz w:val="18"/>
          <w:szCs w:val="18"/>
          <w:color w:val="auto"/>
        </w:rPr>
        <w:t>: If paragraph (d) above applies but it is not possible to calculate the Interpolated Historic Primary Term Rate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b w:val="1"/>
          <w:bCs w:val="1"/>
          <w:color w:val="auto"/>
        </w:rPr>
        <w:t>fixed Central Bank Rate will apply as a fallback</w:t>
      </w:r>
      <w:r>
        <w:rPr>
          <w:rFonts w:ascii="Times New Roman" w:cs="Times New Roman" w:eastAsia="Times New Roman" w:hAnsi="Times New Roman"/>
          <w:sz w:val="18"/>
          <w:szCs w:val="18"/>
          <w:color w:val="auto"/>
        </w:rPr>
        <w:t>” is specified in the Reference Rate Terms for that Loan, the Interest Period of that Loan shall (if it is longer than the applicable Fallback Interest Period) be shortened to the applicable Fallback Interest Period and the applicable Term Reference Rate shall be the percentage rate per annum which is the aggregate of:</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Rate as for the Quotation Day;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Central Bank Rate Adjustment.</w:t>
      </w:r>
    </w:p>
    <w:p>
      <w:pPr>
        <w:spacing w:after="0" w:line="22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(e) above applies but: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applicable Central Bank Rate; and</w:t>
      </w:r>
    </w:p>
    <w:p>
      <w:pPr>
        <w:spacing w:after="0" w:line="22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of funds will apply as a fallback</w:t>
      </w:r>
      <w:r>
        <w:rPr>
          <w:rFonts w:ascii="Times New Roman" w:cs="Times New Roman" w:eastAsia="Times New Roman" w:hAnsi="Times New Roman"/>
          <w:sz w:val="18"/>
          <w:szCs w:val="18"/>
          <w:color w:val="auto"/>
        </w:rPr>
        <w:t>” is specified in the Reference Rate Terms,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for that Interest Period.</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Disruption Rate is specified in the Reference Rate Terms for a Loan;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Reporting Time for that Loan, the Agent receives notifications from a Lender or Lenders (whose participations in that Loan exceed 35 per cent. of that Loan) that its cost of funds relating to its participation in that Loan would be in excess of that Market Disruption Rate, then Clause 10.3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Loan for the relevant Interest Period.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to a Loan for an Interest Period, Clause 8.1 (</w:t>
      </w:r>
      <w:r>
        <w:rPr>
          <w:rFonts w:ascii="Times New Roman" w:cs="Times New Roman" w:eastAsia="Times New Roman" w:hAnsi="Times New Roman"/>
          <w:sz w:val="18"/>
          <w:szCs w:val="18"/>
          <w:i w:val="1"/>
          <w:iCs w:val="1"/>
          <w:color w:val="auto"/>
        </w:rPr>
        <w:t>Calculation of interest</w:t>
      </w:r>
      <w:r>
        <w:rPr>
          <w:rFonts w:ascii="Times New Roman" w:cs="Times New Roman" w:eastAsia="Times New Roman" w:hAnsi="Times New Roman"/>
          <w:sz w:val="18"/>
          <w:szCs w:val="18"/>
          <w:color w:val="auto"/>
        </w:rPr>
        <w:t>) shall not apply to that Loan for that Interest Period and the rate of interest on each Lender’s share of that Loan for that Interest Period shall be the percentage rate per annum which is the sum of:</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of the rates notified to the Agent by each Lender as soon as practicable and in any event by the Reporting Time for that Loan, to be that which expresses as a percentage rate per annum its cost of funds relating to its participation in that Loan.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and the Agent or the Company so requires, the Agent and the Company shall enter into negotiations (for a period of not more than 30 days) with a view to agreeing a substitute basis for determining the rate of interest.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(b) above shall, with the prior consent of all the Lenders and the Company, be binding on all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2" w:name="page253"/>
    <w:bookmarkEnd w:id="252"/>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pursuant to Clause 10.2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w:t>
      </w:r>
    </w:p>
    <w:p>
      <w:pPr>
        <w:spacing w:after="0" w:line="227" w:lineRule="exact"/>
        <w:rPr>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Funding Rate is less than the relevant Market Disruption Rate;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does not notify a rate to the Agent by the relevant Reporting Time,</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that Lender’s cost of funds relating to its participation in that Loan for that Interest Period shall be deemed, for the purposes of paragraph (a) above, to be the Market Disruption Rate for that Loan.</w:t>
      </w:r>
    </w:p>
    <w:p>
      <w:pPr>
        <w:spacing w:after="0" w:line="162" w:lineRule="exact"/>
        <w:rPr>
          <w:sz w:val="20"/>
          <w:szCs w:val="20"/>
          <w:color w:val="auto"/>
        </w:rPr>
      </w:pPr>
    </w:p>
    <w:p>
      <w:pPr>
        <w:ind w:left="1300" w:hanging="644"/>
        <w:spacing w:after="0" w:line="282" w:lineRule="auto"/>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above, if this Clause 10.3 applies but any Lender does not notify a rate to the Agent by the Reporting Time for the relevant Loan the rate of interest shall be calculated on the basis of the rates notified by the remaining Lenders.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10.3 applies the Agent shall, as soon as is practicable, notify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amount is specified as Break Costs in the Reference Rate Terms for a Loan or Unpaid Sum, each Borrower shall, within three Business Days of demand by a Finance Party, pay to that Finance Party its Break Costs (if any) attributable to all or any part of that Loan or Unpaid Sum being paid by that Borrower on a day prior to the last day of an Interest Period for that Loan or Unpaid Sum.</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as soon as reasonably practicable after a demand by the Agent, provide a certificate confirming the amount of its Break Costs for any Interest Period in respect of which they become, or may become, payable.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Commitment fee</w:t>
      </w:r>
    </w:p>
    <w:p>
      <w:pPr>
        <w:spacing w:after="0" w:line="229" w:lineRule="exact"/>
        <w:rPr>
          <w:sz w:val="20"/>
          <w:szCs w:val="20"/>
          <w:color w:val="auto"/>
        </w:rPr>
      </w:pPr>
    </w:p>
    <w:p>
      <w:pPr>
        <w:ind w:left="1300" w:hanging="644"/>
        <w:spacing w:after="0"/>
        <w:tabs>
          <w:tab w:leader="none" w:pos="13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Agent (for the account of each Lender) a fee in U.S. dollars computed at the rate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 below, 0.50 per cent. per annum;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Leverage Ratio, as determined by the most recent financial statements delivered pursuant to paragraphs (a), (d) and (e) of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or Compliance Certificate delivered pursuant to Clause 19.2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equals or exceeds 2:1, 0.80 per cent. per annum,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on that Lender’s Available Commitment for the Availability Period.</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commitment fee is payable on the last day of each successive period of three Months which ends during the relevant Availability Period, on the last day of the Availability Period and, if cancelled in full, on the cancelled amount of the relevant Lender’s Commitment at the time the cancellation is effective.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fee is payable to the Agent (for the account of a Lender) on any Available Commitment of that Lender for any day on which that Lender is a Defaulting Lender.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Upfront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pay to the Arranger an upfront fee in the amount and at the times agreed in a Fee Letter.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Agency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pay to the Agent (for its own account) an agency fee in the amount and at the times agreed in a Fee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PAYMENT OBLIGATIONS</w:t>
      </w:r>
    </w:p>
    <w:p>
      <w:pPr>
        <w:spacing w:after="0" w:line="225"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GROSS-UP AND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Party</w:t>
      </w:r>
      <w:r>
        <w:rPr>
          <w:rFonts w:ascii="Times New Roman" w:cs="Times New Roman" w:eastAsia="Times New Roman" w:hAnsi="Times New Roman"/>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an Obligor to a Finance Party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Unless a contrary indication appears, in this Clause 12 a reference to “</w:t>
      </w:r>
      <w:r>
        <w:rPr>
          <w:rFonts w:ascii="Times New Roman" w:cs="Times New Roman" w:eastAsia="Times New Roman" w:hAnsi="Times New Roman"/>
          <w:sz w:val="18"/>
          <w:szCs w:val="18"/>
          <w:b w:val="1"/>
          <w:bCs w:val="1"/>
          <w:color w:val="auto"/>
        </w:rPr>
        <w:t>determines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means a determination made in the absolute discretion of the person making the determination.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229" w:lineRule="exact"/>
        <w:rPr>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make all payments to be made by it without any Tax Deduction, unless a Tax Deduction is required by law.</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at the request of the Company or the Agent and at the expense of the Company, use its reasonable efforts to co-operate to complete, deliver and maintain any documentation or procedural requirements that may be required under applicable law to enable an Obligor to make a payment without a Tax Deduction or with a reduced Tax Deduction, provided that doing so would not, in the reasonable opinion of the Finance Party, be prejudicial to its legal or commercial 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4" w:name="page255"/>
    <w:bookmarkEnd w:id="254"/>
    <w:p>
      <w:pPr>
        <w:jc w:val="both"/>
        <w:ind w:left="1300" w:hanging="644"/>
        <w:spacing w:after="0" w:line="258"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be deemed to have co-operated for the purposes of paragraph (f) above if the Lender has provided a completed ITA Form A/114 (Claim for Reduced Rate of Withholding Tax/Exemption from Withholding Tax in the State of Israel on Payments to a Non Resident) to the Borrower. For the avoidance of doubt, the Form A/114 shall be deemed to be completed if the relevant Lender has provided to the Borrower a certificate of tax residency issued by the tax authority in its jurisdiction of incorporation, in lieu of completing Part H of the ITA Form A/114.</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Party’s Facility Office is located in respect of amounts received or receivable in that jurisdiction,</w:t>
      </w:r>
    </w:p>
    <w:p>
      <w:pPr>
        <w:spacing w:after="0" w:line="162" w:lineRule="exact"/>
        <w:rPr>
          <w:sz w:val="20"/>
          <w:szCs w:val="20"/>
          <w:color w:val="auto"/>
        </w:rPr>
      </w:pPr>
    </w:p>
    <w:p>
      <w:pPr>
        <w:ind w:left="1960" w:right="42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 or</w:t>
      </w:r>
    </w:p>
    <w:p>
      <w:pPr>
        <w:spacing w:after="0" w:line="162" w:lineRule="exact"/>
        <w:rPr>
          <w:sz w:val="20"/>
          <w:szCs w:val="20"/>
          <w:color w:val="auto"/>
        </w:rPr>
      </w:pPr>
    </w:p>
    <w:p>
      <w:pPr>
        <w:ind w:left="1960" w:hanging="656"/>
        <w:spacing w:after="0"/>
        <w:tabs>
          <w:tab w:leader="none" w:pos="19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22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gross</w:t>
      </w:r>
      <w:r>
        <w:rPr>
          <w:rFonts w:ascii="Times New Roman" w:cs="Times New Roman" w:eastAsia="Times New Roman" w:hAnsi="Times New Roman"/>
          <w:sz w:val="18"/>
          <w:szCs w:val="18"/>
          <w:i w:val="1"/>
          <w:iCs w:val="1"/>
          <w:color w:val="auto"/>
        </w:rPr>
        <w:t>-up</w:t>
      </w:r>
      <w:r>
        <w:rPr>
          <w:rFonts w:ascii="Times New Roman" w:cs="Times New Roman" w:eastAsia="Times New Roman" w:hAnsi="Times New Roman"/>
          <w:sz w:val="18"/>
          <w:szCs w:val="18"/>
          <w:color w:val="auto"/>
        </w:rPr>
        <w:t>); or</w:t>
      </w:r>
    </w:p>
    <w:p>
      <w:pPr>
        <w:spacing w:after="0" w:line="22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FATCA Deduction required to be made by a Party.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an Obligor under this Clause 12.3, notify the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Obligor makes a Tax Payment and the relevant Finance Party determines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the Obligor which that Finance Party reasonably determines will leave it (after that payment) in the same after-Tax position as it would have been in had the Tax Payment not been required to be made by the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Stamp taxes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shall pay and, within three Business Days of demand, indemnify each Finance Party against any cost, loss or liability that Finance Party incurs in relation to all stamp duty, registration and other similar Taxes payable in respect of any Finance Document except for:</w:t>
      </w:r>
    </w:p>
    <w:p>
      <w:pPr>
        <w:spacing w:after="0" w:line="162" w:lineRule="exact"/>
        <w:rPr>
          <w:sz w:val="20"/>
          <w:szCs w:val="20"/>
          <w:color w:val="auto"/>
        </w:rPr>
      </w:pPr>
    </w:p>
    <w:p>
      <w:pPr>
        <w:ind w:left="1300" w:right="2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Tax payable in connection with any Transfer Certificate, Assignment Agreement or other transfer or disposal by a Lender of any of its rights or obligations under a Finance Document;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Tax arising as a result of a voluntary registration by a Finance Party where such registration is not required by applicable law to evidence, prove, maintain, enforce, compel or otherwise assert the rights of such party or obligations of any party under a Finance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b w:val="1"/>
          <w:bCs w:val="1"/>
          <w:color w:val="auto"/>
        </w:rPr>
        <w:t>VAT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or service for VAT purposes are deemed to be exclusive of any VAT which is chargeable on that supply or service, and accordingly, subject to paragraph (b) below, if VAT is or becomes chargeable on any supply or service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or service) an amount equal to the amount of the VAT (and such Finance Party must promptly provide an appropriate VAT invoice to that Party).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80"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83" w:lineRule="exact"/>
        <w:rPr>
          <w:rFonts w:ascii="Times New Roman" w:cs="Times New Roman" w:eastAsia="Times New Roman" w:hAnsi="Times New Roman"/>
          <w:sz w:val="18"/>
          <w:szCs w:val="18"/>
          <w:color w:val="auto"/>
        </w:rPr>
      </w:pPr>
    </w:p>
    <w:p>
      <w:pPr>
        <w:jc w:val="both"/>
        <w:ind w:left="1960" w:right="20" w:hanging="656"/>
        <w:spacing w:after="0" w:line="261" w:lineRule="auto"/>
        <w:tabs>
          <w:tab w:leader="none" w:pos="19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jc w:val="both"/>
        <w:ind w:left="1300" w:hanging="644"/>
        <w:spacing w:after="0" w:line="261"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Clause 12.6 to any Party shall, at any time when such Party is treated as a member of a group or unity (or fiscal unity)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229" w:lineRule="exact"/>
        <w:rPr>
          <w:sz w:val="20"/>
          <w:szCs w:val="20"/>
          <w:color w:val="auto"/>
        </w:rPr>
      </w:pPr>
    </w:p>
    <w:p>
      <w:pPr>
        <w:ind w:left="1300" w:hanging="644"/>
        <w:spacing w:after="0"/>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Business Days of a reasonable request by another Party: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left="644" w:hanging="644"/>
        <w:spacing w:after="0" w:line="261" w:lineRule="auto"/>
        <w:tabs>
          <w:tab w:leader="none" w:pos="6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Original Borrower is a US Tax Obligor and the relevant Lender is an Original Lender, the date of this Agreement;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Borrower is a US Tax Obligor on a date on which any other Lender becomes a Party as a Lender, that date;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new US Tax Obligor accedes as a Borrower;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Borrower is not a US Tax Obligor, the date of a request from the Agent,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supply to the Agent:</w:t>
      </w:r>
    </w:p>
    <w:p>
      <w:pPr>
        <w:spacing w:after="0" w:line="225" w:lineRule="exact"/>
        <w:rPr>
          <w:sz w:val="20"/>
          <w:szCs w:val="20"/>
          <w:color w:val="auto"/>
        </w:rPr>
      </w:pPr>
    </w:p>
    <w:p>
      <w:pPr>
        <w:ind w:left="1944" w:hanging="648"/>
        <w:spacing w:after="0"/>
        <w:tabs>
          <w:tab w:leader="none" w:pos="19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certificate on Form W-8, Form W-9 or any other relevant form; or</w:t>
      </w:r>
    </w:p>
    <w:p>
      <w:pPr>
        <w:spacing w:after="0" w:line="225" w:lineRule="exact"/>
        <w:rPr>
          <w:rFonts w:ascii="Times New Roman" w:cs="Times New Roman" w:eastAsia="Times New Roman" w:hAnsi="Times New Roman"/>
          <w:sz w:val="18"/>
          <w:szCs w:val="18"/>
          <w:color w:val="auto"/>
        </w:rPr>
      </w:pPr>
    </w:p>
    <w:p>
      <w:pPr>
        <w:ind w:left="1944" w:right="20" w:hanging="648"/>
        <w:spacing w:after="0" w:line="282" w:lineRule="auto"/>
        <w:tabs>
          <w:tab w:leader="none" w:pos="194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statement or other document, authorisation or waiver as the Agent may require to certify or establish the status of such Lender under FATCA or that other law or regulation.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any withholding certificate, withholding statement, document, authorisation or waiver it receives from a Lender pursuant to paragraph (e) above to the relevant Borrower.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8" w:name="page259"/>
    <w:bookmarkEnd w:id="25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229" w:lineRule="exact"/>
        <w:rPr>
          <w:sz w:val="20"/>
          <w:szCs w:val="20"/>
          <w:color w:val="auto"/>
        </w:rPr>
      </w:pPr>
    </w:p>
    <w:p>
      <w:pPr>
        <w:ind w:left="1300" w:right="400" w:hanging="644"/>
        <w:spacing w:after="0" w:line="266" w:lineRule="auto"/>
        <w:tabs>
          <w:tab w:leader="none" w:pos="13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13.3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Company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or (ii) compliance with any law or regulation made after the date of this Agreement or (iii) the implementation or application of or compliance with any Regulatory Capital Requirements.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960" w:hanging="656"/>
        <w:spacing w:after="0"/>
        <w:tabs>
          <w:tab w:leader="none" w:pos="1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on capital requirements, a leverage ratio and liquidity standards contained in “Basel III: A global regulatory</w:t>
      </w:r>
    </w:p>
    <w:p>
      <w:pPr>
        <w:spacing w:after="0" w:line="27" w:lineRule="exact"/>
        <w:rPr>
          <w:rFonts w:ascii="Times New Roman" w:cs="Times New Roman" w:eastAsia="Times New Roman" w:hAnsi="Times New Roman"/>
          <w:sz w:val="18"/>
          <w:szCs w:val="18"/>
          <w:color w:val="auto"/>
        </w:rPr>
      </w:pPr>
    </w:p>
    <w:p>
      <w:pPr>
        <w:jc w:val="both"/>
        <w:ind w:left="1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 including “Basel III: Finalising post-crisis reforms” published in December 2017.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IV</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960" w:right="20" w:hanging="656"/>
        <w:spacing w:after="0" w:line="282" w:lineRule="auto"/>
        <w:tabs>
          <w:tab w:leader="none" w:pos="1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and amending Regulation (EU) No 648/2012 (“</w:t>
      </w:r>
      <w:r>
        <w:rPr>
          <w:rFonts w:ascii="Times New Roman" w:cs="Times New Roman" w:eastAsia="Times New Roman" w:hAnsi="Times New Roman"/>
          <w:sz w:val="18"/>
          <w:szCs w:val="18"/>
          <w:b w:val="1"/>
          <w:bCs w:val="1"/>
          <w:color w:val="auto"/>
        </w:rPr>
        <w:t>CRR</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w:t>
      </w:r>
      <w:r>
        <w:rPr>
          <w:rFonts w:ascii="Times New Roman" w:cs="Times New Roman" w:eastAsia="Times New Roman" w:hAnsi="Times New Roman"/>
          <w:sz w:val="18"/>
          <w:szCs w:val="18"/>
          <w:b w:val="1"/>
          <w:bCs w:val="1"/>
          <w:color w:val="auto"/>
        </w:rPr>
        <w:t>CRD4</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V</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6"/>
        <w:spacing w:after="0" w:line="282" w:lineRule="auto"/>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2019/876 of the European Parliament and of the Council of 20 May 2019 amending CRR and Regulation (EU) No 648/2012 (“</w:t>
      </w:r>
      <w:r>
        <w:rPr>
          <w:rFonts w:ascii="Times New Roman" w:cs="Times New Roman" w:eastAsia="Times New Roman" w:hAnsi="Times New Roman"/>
          <w:sz w:val="18"/>
          <w:szCs w:val="18"/>
          <w:b w:val="1"/>
          <w:bCs w:val="1"/>
          <w:color w:val="auto"/>
        </w:rPr>
        <w:t>CRR2</w:t>
      </w: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(EU) 2019/878 of the European Parliament and of the Council of 20 May 2019 amending CRD4 (“</w:t>
      </w:r>
      <w:r>
        <w:rPr>
          <w:rFonts w:ascii="Times New Roman" w:cs="Times New Roman" w:eastAsia="Times New Roman" w:hAnsi="Times New Roman"/>
          <w:sz w:val="18"/>
          <w:szCs w:val="18"/>
          <w:b w:val="1"/>
          <w:bCs w:val="1"/>
          <w:color w:val="auto"/>
        </w:rPr>
        <w:t>CRD5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CRD VI</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6"/>
        <w:spacing w:after="0"/>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2024/1623 of the European Parliament and of the Council of 31 May 2024 amending CRR; and</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(EU) 2024/1619 of the European Parliament and of the Council of 31 May 2024 amending CRD4.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Regulatory Capital Requirements</w:t>
      </w:r>
      <w:r>
        <w:rPr>
          <w:rFonts w:ascii="Times New Roman" w:cs="Times New Roman" w:eastAsia="Times New Roman" w:hAnsi="Times New Roman"/>
          <w:sz w:val="18"/>
          <w:szCs w:val="18"/>
          <w:color w:val="auto"/>
        </w:rPr>
        <w:t>” means EU CRD IV, EU CRD V and EU CRD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6"/>
        <w:spacing w:after="0"/>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a Facility or on a Finance Party’s (or its Affiliate’s) overall capital;</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Capital Requirements</w:t>
      </w:r>
      <w:r>
        <w:rPr>
          <w:rFonts w:ascii="Times New Roman" w:cs="Times New Roman" w:eastAsia="Times New Roman" w:hAnsi="Times New Roman"/>
          <w:sz w:val="18"/>
          <w:szCs w:val="18"/>
          <w:color w:val="auto"/>
        </w:rPr>
        <w:t>” means Basel III, any EU Regulatory Capital Requirements or any UK Regulatory Capital Requirements or any law or regulation that implements or applies Basel III, any EU Regulatory Capital Requirements or any UK Regulatory Capital Requirements.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Regulatory Capital Requirements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56"/>
        <w:spacing w:after="0"/>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CRR and CRR2 as they form part of domestic law of the United Kingdom;</w:t>
      </w:r>
    </w:p>
    <w:p>
      <w:pPr>
        <w:spacing w:after="0" w:line="22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United Kingdom or any part of it, which immediately before IP completion day (as defined in the WAA) implemented CRD4 and CRD5 and their respective implementing measures;</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EU legislation (as defined in the Withdrawal Act), which immediately before IP completion day (as defined in the WAA) implemented EU CRD IV and EU CRD V as it forms part of domestic law of the United Kingdom;</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which amends, supplements, replaces or restates any law or regulation specified in paragraphs (i) to (iii) above; and</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which otherwise implements or is related to the implementation of Basel III or any other regulatory capital requirement in the United Kingdom.</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60" w:name="page261"/>
    <w:bookmarkEnd w:id="2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WAA</w:t>
      </w:r>
      <w:r>
        <w:rPr>
          <w:rFonts w:ascii="Times New Roman" w:cs="Times New Roman" w:eastAsia="Times New Roman" w:hAnsi="Times New Roman"/>
          <w:sz w:val="18"/>
          <w:szCs w:val="18"/>
          <w:color w:val="auto"/>
        </w:rPr>
        <w:t>” means the European Union (Withdrawal Agreement) Act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Act</w:t>
      </w:r>
      <w:r>
        <w:rPr>
          <w:rFonts w:ascii="Times New Roman" w:cs="Times New Roman" w:eastAsia="Times New Roman" w:hAnsi="Times New Roman"/>
          <w:sz w:val="18"/>
          <w:szCs w:val="18"/>
          <w:color w:val="auto"/>
        </w:rPr>
        <w:t>” means the European Union (Withdrawal) Act 2018.</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227" w:lineRule="exact"/>
        <w:rPr>
          <w:sz w:val="20"/>
          <w:szCs w:val="20"/>
          <w:color w:val="auto"/>
        </w:rPr>
      </w:pPr>
    </w:p>
    <w:p>
      <w:pPr>
        <w:ind w:left="1300" w:hanging="644"/>
        <w:spacing w:after="0" w:line="284"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following which the Agent shall promptly notify the Company.</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7" w:lineRule="exact"/>
        <w:rPr>
          <w:sz w:val="20"/>
          <w:szCs w:val="20"/>
          <w:color w:val="auto"/>
        </w:rPr>
      </w:pPr>
    </w:p>
    <w:p>
      <w:pPr>
        <w:ind w:left="560" w:hanging="552"/>
        <w:spacing w:after="0"/>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13.1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any of the exclusions in paragraph (b) of Clause 12.3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applied); or</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w:t>
      </w:r>
    </w:p>
    <w:p>
      <w:pPr>
        <w:spacing w:after="0" w:line="22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13.3, a reference to a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same meaning given to that term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INDEMNITIES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filing a claim or proof against that Obligor;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 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Other indemnities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shall (or shall procure that an Obligor will), within three Business Days of demand, indemnify each Finance Party against any cost, loss or liability incurred by that Finance Party as a result of:</w:t>
      </w:r>
    </w:p>
    <w:p>
      <w:pPr>
        <w:spacing w:after="0" w:line="162" w:lineRule="exact"/>
        <w:rPr>
          <w:sz w:val="20"/>
          <w:szCs w:val="20"/>
          <w:color w:val="auto"/>
        </w:rPr>
      </w:pPr>
    </w:p>
    <w:p>
      <w:pPr>
        <w:ind w:left="1960" w:hanging="656"/>
        <w:spacing w:after="0"/>
        <w:tabs>
          <w:tab w:leader="none" w:pos="1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an Obligor to pay any amount due under a Finance Document on its due date, including without limitation, any cost, loss or liability arising as a result of Clause 27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by a Borrower in a Utilisation Request but not made by reason of the operation of any one or more of the provisions of this Agreement (other than by reason of default or negligence by that Finance Party alone); or</w:t>
      </w:r>
    </w:p>
    <w:p>
      <w:pPr>
        <w:spacing w:after="0" w:line="175" w:lineRule="exact"/>
        <w:rPr>
          <w:rFonts w:ascii="Times New Roman" w:cs="Times New Roman" w:eastAsia="Times New Roman" w:hAnsi="Times New Roman"/>
          <w:sz w:val="18"/>
          <w:szCs w:val="18"/>
          <w:color w:val="auto"/>
        </w:rPr>
      </w:pPr>
    </w:p>
    <w:p>
      <w:pPr>
        <w:ind w:right="240" w:firstLine="1304"/>
        <w:spacing w:after="0" w:line="500" w:lineRule="auto"/>
        <w:tabs>
          <w:tab w:leader="none" w:pos="19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 (or part of a Loan) not being prepaid in accordance with a notice of prepayment given by a Borrower or the Company. 14.3 </w:t>
      </w:r>
      <w:r>
        <w:rPr>
          <w:rFonts w:ascii="Times New Roman" w:cs="Times New Roman" w:eastAsia="Times New Roman" w:hAnsi="Times New Roman"/>
          <w:sz w:val="18"/>
          <w:szCs w:val="18"/>
          <w:b w:val="1"/>
          <w:bCs w:val="1"/>
          <w:color w:val="auto"/>
        </w:rPr>
        <w:t>Indemnity to the Agent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promptly indemnify the Agent against any cost, loss or liability incurred by the Agent (acting reasonably) as a result of:</w:t>
      </w:r>
    </w:p>
    <w:p>
      <w:pPr>
        <w:spacing w:after="0" w:line="225" w:lineRule="exact"/>
        <w:rPr>
          <w:sz w:val="20"/>
          <w:szCs w:val="20"/>
          <w:color w:val="auto"/>
        </w:rPr>
      </w:pPr>
    </w:p>
    <w:p>
      <w:pPr>
        <w:ind w:left="1960" w:hanging="656"/>
        <w:spacing w:after="0"/>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lawyers, accountants, tax advisers, surveyors or other professional advisers or experts as permitted under this Agreement.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MITIGATION BY THE LENDERS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Company,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12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 Documents to another Affiliate or Facility Office.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ind w:left="1300" w:hanging="644"/>
        <w:spacing w:after="0" w:line="282" w:lineRule="auto"/>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indemnify each Finance Party for all costs and expenses reasonably incurred by that Finance Party as a result of steps taken by it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15.1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ind w:left="660" w:hanging="652"/>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shall within ten Business Days of demand pay the Agent and the Arranger the amount of all costs and expenses (including pre-agreed or capped legal fees) reasonably incurred (as evidenced by the relevant invoices) by any of them in connection with the negotiation, preparation, printing, execution and syndication of:</w:t>
      </w:r>
    </w:p>
    <w:p>
      <w:pPr>
        <w:spacing w:after="0" w:line="176" w:lineRule="exact"/>
        <w:rPr>
          <w:sz w:val="20"/>
          <w:szCs w:val="20"/>
          <w:color w:val="auto"/>
        </w:rPr>
      </w:pPr>
    </w:p>
    <w:p>
      <w:pPr>
        <w:ind w:left="1300" w:hanging="644"/>
        <w:spacing w:after="0"/>
        <w:tabs>
          <w:tab w:leader="none" w:pos="13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documents referred to in this Agreement; and</w:t>
      </w:r>
    </w:p>
    <w:p>
      <w:pPr>
        <w:spacing w:after="0" w:line="225" w:lineRule="exact"/>
        <w:rPr>
          <w:rFonts w:ascii="Times New Roman" w:cs="Times New Roman" w:eastAsia="Times New Roman" w:hAnsi="Times New Roman"/>
          <w:sz w:val="18"/>
          <w:szCs w:val="18"/>
          <w:color w:val="auto"/>
        </w:rPr>
      </w:pPr>
    </w:p>
    <w:p>
      <w:pPr>
        <w:ind w:right="4720" w:firstLine="656"/>
        <w:spacing w:after="0" w:line="500" w:lineRule="auto"/>
        <w:tabs>
          <w:tab w:leader="none" w:pos="129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Finance Documents executed after the date of this Agreement. 16.2 </w:t>
      </w:r>
      <w:r>
        <w:rPr>
          <w:rFonts w:ascii="Times New Roman" w:cs="Times New Roman" w:eastAsia="Times New Roman" w:hAnsi="Times New Roman"/>
          <w:sz w:val="18"/>
          <w:szCs w:val="18"/>
          <w:b w:val="1"/>
          <w:bCs w:val="1"/>
          <w:color w:val="auto"/>
        </w:rPr>
        <w:t>Amendment costs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requests an amendment, waiver or consent; or</w:t>
      </w:r>
    </w:p>
    <w:p>
      <w:pPr>
        <w:spacing w:after="0" w:line="223" w:lineRule="exact"/>
        <w:rPr>
          <w:rFonts w:ascii="Times New Roman" w:cs="Times New Roman" w:eastAsia="Times New Roman" w:hAnsi="Times New Roman"/>
          <w:sz w:val="18"/>
          <w:szCs w:val="18"/>
          <w:color w:val="auto"/>
        </w:rPr>
      </w:pPr>
    </w:p>
    <w:p>
      <w:pPr>
        <w:jc w:val="both"/>
        <w:ind w:left="1300" w:right="20" w:hanging="644"/>
        <w:spacing w:after="0" w:line="267" w:lineRule="auto"/>
        <w:tabs>
          <w:tab w:leader="none" w:pos="13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is required pursuant to Clause 28.10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the Company shall, within ten Business Days of demand, reimburse the Agent for the amount of all costs and expenses (including pre-agreed or capped legal fees) reasonably incurred by the Agent in responding to, evaluating, negotiating or complying with that request or requirement.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Enforcement costs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shall, within three Business Days of demand, pay to each Finance Party the amount of all costs and expenses (including legal fees) incurred by that Finance Party in connection with the enforcement of, or the preservation of any rights under, any Finance Document.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5" w:lineRule="exact"/>
        <w:rPr>
          <w:sz w:val="20"/>
          <w:szCs w:val="20"/>
          <w:color w:val="auto"/>
        </w:rPr>
      </w:pPr>
    </w:p>
    <w:p>
      <w:pPr>
        <w:ind w:left="660" w:hanging="652"/>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 AND INDEMNITY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Guarantee and indemnity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Guarantor irrevocably and unconditionally jointly and severally:</w:t>
      </w:r>
    </w:p>
    <w:p>
      <w:pPr>
        <w:spacing w:after="0" w:line="225" w:lineRule="exact"/>
        <w:rPr>
          <w:sz w:val="20"/>
          <w:szCs w:val="20"/>
          <w:color w:val="auto"/>
        </w:rPr>
      </w:pPr>
    </w:p>
    <w:p>
      <w:pPr>
        <w:ind w:left="1300" w:hanging="644"/>
        <w:spacing w:after="0" w:line="282"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Finance Party punctual performance by each Borrower of all that Borrower’s obligations under the Finance Documents;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Finance Party that whenever a Borrower does not pay any amount when due under or in connection with any Finance Document, that Guarantor shall immediately on demand pay that amount as if it was the principal obligor;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17 if the amount claimed had been recoverable on the basis of a guarantee.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b w:val="1"/>
          <w:bCs w:val="1"/>
          <w:color w:val="auto"/>
        </w:rPr>
        <w:t>Continuing guarantee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each Guarantor under this Clause 17 will continue or be reinstated as if the discharge, release or arrangement had not occurred.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obligations of each Guarantor under this Clause 17 will not be affected by an act, omission, matter or thing which, but for this Clause, would reduce, release or prejudice any of its obligations under this Clause 17 (without limitation and whether or not known to it or any Finance Party) including:</w:t>
      </w:r>
    </w:p>
    <w:p>
      <w:pPr>
        <w:spacing w:after="0" w:line="176" w:lineRule="exact"/>
        <w:rPr>
          <w:sz w:val="20"/>
          <w:szCs w:val="20"/>
          <w:color w:val="auto"/>
        </w:rPr>
      </w:pPr>
    </w:p>
    <w:p>
      <w:pPr>
        <w:ind w:left="1300" w:hanging="644"/>
        <w:spacing w:after="0"/>
        <w:tabs>
          <w:tab w:leader="none" w:pos="13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waiver or consent granted to, or composition with, any Obligor or other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Obligor or any other person under the terms of any composition or arrangement with any creditor of any member of the Group;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4" w:name="page265"/>
    <w:bookmarkEnd w:id="264"/>
    <w:p>
      <w:pPr>
        <w:jc w:val="both"/>
        <w:ind w:left="1300" w:hanging="644"/>
        <w:spacing w:after="0" w:line="266"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Israeli Guarantee Law, provided that, should the Israeli Guarantee Law for any reason be deemed to be applicable to the Finance Documents, each Guarantor incorporated in the State of Israel hereby expressly waives all rights and defences that may have been available to them under such laws.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b w:val="1"/>
          <w:bCs w:val="1"/>
          <w:color w:val="auto"/>
        </w:rPr>
        <w:t>Appropriations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interest-bearing suspense account any moneys received from any Guarantor or on account of any Guarantor’s liability under this Clause 17.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b w:val="1"/>
          <w:bCs w:val="1"/>
          <w:color w:val="auto"/>
        </w:rPr>
        <w:t>Deferral of Guarantors’ 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76" w:lineRule="exact"/>
        <w:rPr>
          <w:sz w:val="20"/>
          <w:szCs w:val="20"/>
          <w:color w:val="auto"/>
        </w:rPr>
      </w:pPr>
    </w:p>
    <w:p>
      <w:pPr>
        <w:ind w:left="1300" w:hanging="644"/>
        <w:spacing w:after="0"/>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by an Obligor;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any Guarantor has given a guarantee, undertaking or indemnity under Clause 17.1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set-off against any Obligor; and/or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Obligor in competition with any Finance Party.</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28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b w:val="1"/>
          <w:bCs w:val="1"/>
          <w:color w:val="auto"/>
        </w:rPr>
        <w:t>Release of Guarantors’ right of contribution</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If any Guarantor (a “</w:t>
      </w:r>
      <w:r>
        <w:rPr>
          <w:rFonts w:ascii="Times New Roman" w:cs="Times New Roman" w:eastAsia="Times New Roman" w:hAnsi="Times New Roman"/>
          <w:sz w:val="18"/>
          <w:szCs w:val="18"/>
          <w:b w:val="1"/>
          <w:bCs w:val="1"/>
          <w:color w:val="auto"/>
        </w:rPr>
        <w:t>Retiring Guarantor</w:t>
      </w:r>
      <w:r>
        <w:rPr>
          <w:rFonts w:ascii="Times New Roman" w:cs="Times New Roman" w:eastAsia="Times New Roman" w:hAnsi="Times New Roman"/>
          <w:sz w:val="18"/>
          <w:szCs w:val="18"/>
          <w:color w:val="auto"/>
        </w:rPr>
        <w:t>”) ceases to be a Guarantor in accordance with the terms of the Finance Documents for the purpose of any sale or other disposal of that Retiring Guarantor then on the date such Retiring Guarantor ceases to be a Guarantor:</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b w:val="1"/>
          <w:bCs w:val="1"/>
          <w:color w:val="auto"/>
        </w:rPr>
        <w:t>Additional security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Finance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7"/>
          <w:szCs w:val="17"/>
          <w:b w:val="1"/>
          <w:bCs w:val="1"/>
          <w:color w:val="auto"/>
        </w:rPr>
        <w:t>Guarantee limitations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 Guarantor incorporated under the laws of the State of Israel nor any of its Subsidiaries shall be liable to make any payment referred to in this Clause 17 if such payment is prohibited under Section 302 of the Israeli Companies Law and any obligation to make any payment under this Clause 17 shall be subject to, and shall be limited to an amount up to, the Guarantor’s distributable proceeds at the time of realization, calculated in accordance with the Israeli Companies Law; it being agreed that no payment, exercise or realisation shall be made to the extent it is determined to be a “prohibited distribution” under Section 301 of the Israeli Companies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UNDERTAKINGS AND EVENTS OF DEFAULT</w:t>
      </w:r>
    </w:p>
    <w:p>
      <w:pPr>
        <w:spacing w:after="0" w:line="225" w:lineRule="exact"/>
        <w:rPr>
          <w:sz w:val="20"/>
          <w:szCs w:val="20"/>
          <w:color w:val="auto"/>
        </w:rPr>
      </w:pPr>
    </w:p>
    <w:p>
      <w:pPr>
        <w:ind w:left="660" w:hanging="652"/>
        <w:spacing w:after="0"/>
        <w:tabs>
          <w:tab w:leader="none" w:pos="6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makes the representations and warranties set out in this Clause 18 to each Finance Party on the date of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229" w:lineRule="exact"/>
        <w:rPr>
          <w:sz w:val="20"/>
          <w:szCs w:val="20"/>
          <w:color w:val="auto"/>
        </w:rPr>
      </w:pPr>
    </w:p>
    <w:p>
      <w:pPr>
        <w:ind w:left="1300" w:hanging="644"/>
        <w:spacing w:after="0" w:line="282"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duly incorporated, validly existing and, in relation to the Company only, in good standing under the law of its Original Jurisdiction.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each Material Group Company has the power to own its assets and carry on its business in all material respects as it is being conducted.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Obligor incorporated in the State of Israel, it is not a registered as a ‘violating company’ as defined in Section 362A of the Israel Companies Law and has not received a warning notice that it is to become a ‘violating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acting for its own account and not for the account of any other person.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b w:val="1"/>
          <w:bCs w:val="1"/>
          <w:color w:val="auto"/>
        </w:rPr>
        <w:t>Binding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obligations expressed to be assumed by it in each Finance Document are, subject to the Legal Reservations, legal, valid, binding and enforceable obligations in accordance with their terms.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entry into and performance by it of, and the transactions contemplated by, the Finance Documents do not and will not conflict with:</w:t>
      </w:r>
    </w:p>
    <w:p>
      <w:pPr>
        <w:spacing w:after="0" w:line="225" w:lineRule="exact"/>
        <w:rPr>
          <w:sz w:val="20"/>
          <w:szCs w:val="20"/>
          <w:color w:val="auto"/>
        </w:rPr>
      </w:pPr>
    </w:p>
    <w:p>
      <w:pPr>
        <w:ind w:left="1300" w:hanging="644"/>
        <w:spacing w:after="0"/>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it in any material respect;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it or any of its assets where such conflict has or could reasonably be expected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 all Authorisations required:</w:t>
      </w:r>
    </w:p>
    <w:p>
      <w:pPr>
        <w:spacing w:after="0" w:line="225" w:lineRule="exact"/>
        <w:rPr>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it lawfully to enter into, exercise its rights and comply with its obligations in the Finance Documents to which it is a party;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Finance Documents to which it is a party admissible in evidence in its jurisdiction of incorporation, have been obtained or effected and are in full force and effect if failure to obtain or effect those Authorisations has or could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7" w:name="page268"/>
    <w:bookmarkEnd w:id="26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225" w:lineRule="exact"/>
        <w:rPr>
          <w:sz w:val="20"/>
          <w:szCs w:val="20"/>
          <w:color w:val="auto"/>
        </w:rPr>
      </w:pPr>
    </w:p>
    <w:p>
      <w:pPr>
        <w:ind w:left="130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English law as the governing law of the Finance Documents will be recognised and enforced in its jurisdiction of incorporation; and</w:t>
      </w:r>
    </w:p>
    <w:p>
      <w:pPr>
        <w:spacing w:after="0" w:line="161" w:lineRule="exact"/>
        <w:rPr>
          <w:rFonts w:ascii="Times New Roman" w:cs="Times New Roman" w:eastAsia="Times New Roman" w:hAnsi="Times New Roman"/>
          <w:sz w:val="18"/>
          <w:szCs w:val="18"/>
          <w:color w:val="auto"/>
        </w:rPr>
      </w:pPr>
    </w:p>
    <w:p>
      <w:pPr>
        <w:ind w:right="100" w:firstLine="656"/>
        <w:spacing w:after="0" w:line="500" w:lineRule="auto"/>
        <w:tabs>
          <w:tab w:leader="none" w:pos="129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judgment obtained in England in relation to a Finance Document will be recognised and enforced in its jurisdiction of incorporation. 18.7 </w:t>
      </w:r>
      <w:r>
        <w:rPr>
          <w:rFonts w:ascii="Times New Roman" w:cs="Times New Roman" w:eastAsia="Times New Roman" w:hAnsi="Times New Roman"/>
          <w:sz w:val="18"/>
          <w:szCs w:val="18"/>
          <w:b w:val="1"/>
          <w:bCs w:val="1"/>
          <w:color w:val="auto"/>
        </w:rPr>
        <w:t>Insolvency</w:t>
      </w:r>
    </w:p>
    <w:p>
      <w:pPr>
        <w:spacing w:after="0" w:line="2" w:lineRule="exact"/>
        <w:rPr>
          <w:sz w:val="20"/>
          <w:szCs w:val="20"/>
          <w:color w:val="auto"/>
        </w:rPr>
      </w:pPr>
    </w:p>
    <w:p>
      <w:pPr>
        <w:ind w:left="1300" w:hanging="644"/>
        <w:spacing w:after="0"/>
        <w:tabs>
          <w:tab w:leader="none" w:pos="13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action, legal proceeding or other procedure or step described in paragraph (a) of Clause 22.7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or</w:t>
      </w:r>
    </w:p>
    <w:p>
      <w:pPr>
        <w:spacing w:after="0" w:line="158"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process described in Clause 22.8 (</w:t>
      </w:r>
      <w:r>
        <w:rPr>
          <w:rFonts w:ascii="Times New Roman" w:cs="Times New Roman" w:eastAsia="Times New Roman" w:hAnsi="Times New Roman"/>
          <w:sz w:val="18"/>
          <w:szCs w:val="18"/>
          <w:i w:val="1"/>
          <w:iCs w:val="1"/>
          <w:color w:val="auto"/>
        </w:rPr>
        <w:t>Creditors’ process</w:t>
      </w:r>
      <w:r>
        <w:rPr>
          <w:rFonts w:ascii="Times New Roman" w:cs="Times New Roman" w:eastAsia="Times New Roman" w:hAnsi="Times New Roman"/>
          <w:sz w:val="18"/>
          <w:szCs w:val="18"/>
          <w:color w:val="auto"/>
        </w:rPr>
        <w:t>), has been taken or, to the knowledge of the Company, threatened in relation to a Material Group Company.</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“insolvent” as that expression is specified in Section 8(1) of the BVI Insolvency Act and will not become so “insolvent” in consequence of entering into, and performing its obligations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7"/>
          <w:szCs w:val="17"/>
          <w:b w:val="1"/>
          <w:bCs w:val="1"/>
          <w:color w:val="auto"/>
        </w:rPr>
        <w:t>Deduction of Tax</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color w:val="auto"/>
        </w:rPr>
        <w:t>It is not required to make any Tax Deduction (as defined in Clause 12.1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from any payment it may make under any Finance Document, except for any Tax Deduction that it has disclosed in writing to the Agent prior to the date of this Agreement.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229" w:lineRule="exact"/>
        <w:rPr>
          <w:sz w:val="20"/>
          <w:szCs w:val="20"/>
          <w:color w:val="auto"/>
        </w:rPr>
      </w:pPr>
    </w:p>
    <w:p>
      <w:pPr>
        <w:ind w:left="1300" w:hanging="644"/>
        <w:spacing w:after="0"/>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might reasonably be expected to result from the making of any Utilisation.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a default under any other agreement or instrument which is binding on it or any Material Group Company or to which its (or any Material Group Company’s) assets are subject which has or could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8" w:name="page269"/>
    <w:bookmarkEnd w:id="26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7"/>
          <w:szCs w:val="17"/>
          <w:b w:val="1"/>
          <w:bCs w:val="1"/>
          <w:color w:val="auto"/>
        </w:rPr>
        <w:t>No misleading information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factual information provided by or on behalf of any member of the Group to the Agent in connection with this Agreement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was true and accurate in all respects as at the date it was provided or as at the date (if any) at which it is stated except to the extent such inaccuracy could not reasonably be expected to materially prejudice the interests of the Lenders.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contained in the Information have been prepared on the basis of recent historical information and on the basis of reasonable assumptions.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occurred or been omitted from the Information and no information has been given or withheld that results in the information contained in the Information being untrue or misleading in any respect which could reasonably be expected to materially prejudice the interests of the Lenders.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hanging="644"/>
        <w:spacing w:after="0"/>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Original Financial Statements were prepared in accordance with GAAP consistently applied.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Original Financial Statements fairly present its financial condition as at the end of the relevant financial year and its results of operations as at the end of and for the relevant financial year (consolidated in the case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its business or financial condition (or the business or consolidated financial condition of the Group, in the case of the Company) since 31 December 2024.</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 xml:space="preserve">Its payment obligations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for obligations mandatorily preferred by law applying to companies generally.</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18.14</w:t>
      </w:r>
      <w:r>
        <w:rPr>
          <w:sz w:val="20"/>
          <w:szCs w:val="20"/>
          <w:color w:val="auto"/>
        </w:rPr>
        <w:tab/>
      </w:r>
      <w:r>
        <w:rPr>
          <w:rFonts w:ascii="Times New Roman" w:cs="Times New Roman" w:eastAsia="Times New Roman" w:hAnsi="Times New Roman"/>
          <w:sz w:val="17"/>
          <w:szCs w:val="17"/>
          <w:b w:val="1"/>
          <w:bCs w:val="1"/>
          <w:color w:val="auto"/>
        </w:rPr>
        <w:t>No proceedings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arbitration or administrative proceedings of or before any court, arbitral body or agency which could reasonably be expected to be adversely determined and, if adversely determined, could reasonably be expected to have a Material Adverse Effect has or have (to the best of its knowledge and belief (having made due and careful enquiry)) been started or (so far as it is aware) threatened against it or any of its Subsidiaries.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judgment or order of a court, arbitral body or agency which could reasonably be expected to have a Material Adverse Effect has (to the best of its knowledge and belief (having made due and careful enquiry)) been made against it or any of its Subsidiaries.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18.15</w:t>
      </w:r>
      <w:r>
        <w:rPr>
          <w:sz w:val="20"/>
          <w:szCs w:val="20"/>
          <w:color w:val="auto"/>
        </w:rPr>
        <w:tab/>
      </w:r>
      <w:r>
        <w:rPr>
          <w:rFonts w:ascii="Times New Roman" w:cs="Times New Roman" w:eastAsia="Times New Roman" w:hAnsi="Times New Roman"/>
          <w:sz w:val="17"/>
          <w:szCs w:val="17"/>
          <w:b w:val="1"/>
          <w:bCs w:val="1"/>
          <w:color w:val="auto"/>
        </w:rPr>
        <w:t>No breach of laws</w:t>
      </w:r>
    </w:p>
    <w:p>
      <w:pPr>
        <w:spacing w:after="0" w:line="229" w:lineRule="exact"/>
        <w:rPr>
          <w:sz w:val="20"/>
          <w:szCs w:val="20"/>
          <w:color w:val="auto"/>
        </w:rPr>
      </w:pPr>
    </w:p>
    <w:p>
      <w:pPr>
        <w:ind w:left="1300" w:hanging="644"/>
        <w:spacing w:after="0" w:line="282"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none of its Subsidiaries has) breached any law or regulation which breach has or is reasonably likely to have a Material Adverse Effect.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the conduct of the business, trade and ordinary activities of members of the Group have been obtained or effected and are in full force and effect if failure to obtain or effect those Authorisations has or might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18.16</w:t>
      </w:r>
      <w:r>
        <w:rPr>
          <w:sz w:val="20"/>
          <w:szCs w:val="20"/>
          <w:color w:val="auto"/>
        </w:rPr>
        <w:tab/>
      </w:r>
      <w:r>
        <w:rPr>
          <w:rFonts w:ascii="Times New Roman" w:cs="Times New Roman" w:eastAsia="Times New Roman" w:hAnsi="Times New Roman"/>
          <w:sz w:val="17"/>
          <w:szCs w:val="17"/>
          <w:b w:val="1"/>
          <w:bCs w:val="1"/>
          <w:color w:val="auto"/>
        </w:rPr>
        <w:t>Environmental laws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Group is in compliance with Clause 21.18 (</w:t>
      </w: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commenced or (to the best of its knowledge and belief (having made due and careful enquiry)) is formally threatened against any member of the Group where that claim has or is reasonably likely to be adversely determined and, if determined against that member of the Group, is reasonably likely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18.17</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(and none of its Subsidiaries is) overdue in the filing of any Tax returns and it is not (and none of its Subsidiaries is) overdue in the payment of any amount in respect of Tax where such failure to take action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or investigations are being, or are reasonably likely to be, made or conducted against it (or any of its Subsidiaries) with respect to Taxes which is reasonably likely to have a Material Adverse Effect.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resident for Tax purposes only in its Original Jurisdiction, it being understood that the Company is a BVI incorporated company and also resident in the State of Israel for tax purposes.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18.18</w:t>
      </w:r>
      <w:r>
        <w:rPr>
          <w:sz w:val="20"/>
          <w:szCs w:val="20"/>
          <w:color w:val="auto"/>
        </w:rPr>
        <w:tab/>
      </w:r>
      <w:r>
        <w:rPr>
          <w:rFonts w:ascii="Times New Roman" w:cs="Times New Roman" w:eastAsia="Times New Roman" w:hAnsi="Times New Roman"/>
          <w:sz w:val="17"/>
          <w:szCs w:val="17"/>
          <w:b w:val="1"/>
          <w:bCs w:val="1"/>
          <w:color w:val="auto"/>
        </w:rPr>
        <w:t>Anti-corruption laws and Anti-Money Laundering Laws</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Group has conducted its businesses in compliance in all material respects with the requirements of applicable anti-corruption laws and Anti-Money Laundering Laws of all jurisdictions in which that member of the Group conduct business, the rules and regulations thereunder and any related or similar rules, regulations or guidelines, issued, administered or enforced by any governmental agency including regulations governing predicate offences for money laundering and no material action, suit or proceeding by or before any court or governmental agency, authority or body or any arbitrator involving that member of the Group or its management board with respect to such anti-corruption laws and Anti-Money Laundering Laws is pending and no such actions, suits or proceedings are threatened or contemplated.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instituted and maintained policies and procedures reasonably designed to promote and achieve compliance with applicable anti-corruption laws and Anti-Money Laundering Laws.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18.19</w:t>
      </w:r>
      <w:r>
        <w:rPr>
          <w:sz w:val="20"/>
          <w:szCs w:val="20"/>
          <w:color w:val="auto"/>
        </w:rPr>
        <w:tab/>
      </w:r>
      <w:r>
        <w:rPr>
          <w:rFonts w:ascii="Times New Roman" w:cs="Times New Roman" w:eastAsia="Times New Roman" w:hAnsi="Times New Roman"/>
          <w:sz w:val="18"/>
          <w:szCs w:val="18"/>
          <w:b w:val="1"/>
          <w:bCs w:val="1"/>
          <w:color w:val="auto"/>
        </w:rPr>
        <w:t>Security and Financial Indebtedness</w:t>
      </w:r>
    </w:p>
    <w:p>
      <w:pPr>
        <w:spacing w:after="0" w:line="229" w:lineRule="exact"/>
        <w:rPr>
          <w:sz w:val="20"/>
          <w:szCs w:val="20"/>
          <w:color w:val="auto"/>
        </w:rPr>
      </w:pPr>
    </w:p>
    <w:p>
      <w:pPr>
        <w:ind w:left="1300" w:right="20" w:hanging="644"/>
        <w:spacing w:after="0" w:line="282" w:lineRule="auto"/>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or Quasi-Security exists over all or any of the present or future assets of it or any member of the Group other than as permitted by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Indebtedness remains outstanding or will be payable by it or any member of the Group other than or as permitted by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0" w:name="page271"/>
    <w:bookmarkEnd w:id="27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18.20</w:t>
      </w:r>
      <w:r>
        <w:rPr>
          <w:sz w:val="20"/>
          <w:szCs w:val="20"/>
          <w:color w:val="auto"/>
        </w:rPr>
        <w:tab/>
      </w:r>
      <w:r>
        <w:rPr>
          <w:rFonts w:ascii="Times New Roman" w:cs="Times New Roman" w:eastAsia="Times New Roman" w:hAnsi="Times New Roman"/>
          <w:sz w:val="17"/>
          <w:szCs w:val="17"/>
          <w:b w:val="1"/>
          <w:bCs w:val="1"/>
          <w:color w:val="auto"/>
        </w:rPr>
        <w:t>Good title to assets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and each of its Subsidiaries has a good, valid and marketable title to, or valid leases or licences of, and all appropriate Authorisations to use, the assets necessary to carry on its business as presently conducted where failure would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18.21</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229" w:lineRule="exact"/>
        <w:rPr>
          <w:sz w:val="20"/>
          <w:szCs w:val="20"/>
          <w:color w:val="auto"/>
        </w:rPr>
      </w:pPr>
    </w:p>
    <w:p>
      <w:pPr>
        <w:ind w:left="1300" w:hanging="644"/>
        <w:spacing w:after="0" w:line="282"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Group nor, to the knowledge of the Company, any of their respective directors, officers, agents or employees is, has been, or is engaged in any transaction, activity or conduct that could reasonably be expected to result in it or them being:</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breach of Sanctions in any material respect;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Sanctions Restricted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policies and procedures designed to ensure compliance by the Company and each other member of the Group with Sanctions.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member of the Group nor, to the knowledge of the Company, any of their respective directors, officers, agents or employees has received notice of or is aware of any claim, action, suit, proceeding or investigation commenced against it by any Sanctions Authority with respect to Sanctions.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Clause 18.21 will apply to or in favour of any person if and to the extent that it would result in a breach, by or in respect of that person, of any applicable Blocking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18.22</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and each of its Subsidiaries:</w:t>
      </w:r>
    </w:p>
    <w:p>
      <w:pPr>
        <w:spacing w:after="0" w:line="225" w:lineRule="exact"/>
        <w:rPr>
          <w:sz w:val="20"/>
          <w:szCs w:val="20"/>
          <w:color w:val="auto"/>
        </w:rPr>
      </w:pPr>
    </w:p>
    <w:p>
      <w:pPr>
        <w:ind w:left="1300" w:hanging="644"/>
        <w:spacing w:after="0" w:line="282"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(nor does any of its Subsidiaries), in carrying on its businesses, infringe any Intellectual Property of any third party in any respect which has or is reasonably likely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18.23</w:t>
      </w:r>
      <w:r>
        <w:rPr>
          <w:sz w:val="20"/>
          <w:szCs w:val="20"/>
          <w:color w:val="auto"/>
        </w:rPr>
        <w:tab/>
      </w:r>
      <w:r>
        <w:rPr>
          <w:rFonts w:ascii="Times New Roman" w:cs="Times New Roman" w:eastAsia="Times New Roman" w:hAnsi="Times New Roman"/>
          <w:sz w:val="17"/>
          <w:szCs w:val="17"/>
          <w:b w:val="1"/>
          <w:bCs w:val="1"/>
          <w:color w:val="auto"/>
        </w:rPr>
        <w:t>Group structure chart</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The Group Structure Chart delivered to the Agent pursuant to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is true, complete and accurate in all material respects.</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18.24</w:t>
      </w:r>
      <w:r>
        <w:rPr>
          <w:sz w:val="20"/>
          <w:szCs w:val="20"/>
          <w:color w:val="auto"/>
        </w:rPr>
        <w:tab/>
      </w:r>
      <w:r>
        <w:rPr>
          <w:rFonts w:ascii="Times New Roman" w:cs="Times New Roman" w:eastAsia="Times New Roman" w:hAnsi="Times New Roman"/>
          <w:sz w:val="18"/>
          <w:szCs w:val="18"/>
          <w:b w:val="1"/>
          <w:bCs w:val="1"/>
          <w:color w:val="auto"/>
        </w:rPr>
        <w:t>Repetition</w:t>
      </w:r>
    </w:p>
    <w:p>
      <w:pPr>
        <w:spacing w:after="0" w:line="227"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color w:val="auto"/>
        </w:rPr>
        <w:t>The Repeating Representations (and, in the case of paragraph (b) below, the representations set out in Clauses 18.5 (</w:t>
      </w:r>
      <w:r>
        <w:rPr>
          <w:rFonts w:ascii="Times New Roman" w:cs="Times New Roman" w:eastAsia="Times New Roman" w:hAnsi="Times New Roman"/>
          <w:sz w:val="18"/>
          <w:szCs w:val="18"/>
          <w:i w:val="1"/>
          <w:iCs w:val="1"/>
          <w:color w:val="auto"/>
        </w:rPr>
        <w:t>Validity and admissibility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evidence</w:t>
      </w:r>
      <w:r>
        <w:rPr>
          <w:rFonts w:ascii="Times New Roman" w:cs="Times New Roman" w:eastAsia="Times New Roman" w:hAnsi="Times New Roman"/>
          <w:sz w:val="18"/>
          <w:szCs w:val="18"/>
          <w:color w:val="auto"/>
        </w:rPr>
        <w:t>), 18.7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18.8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18.9 (</w:t>
      </w:r>
      <w:r>
        <w:rPr>
          <w:rFonts w:ascii="Times New Roman" w:cs="Times New Roman" w:eastAsia="Times New Roman" w:hAnsi="Times New Roman"/>
          <w:sz w:val="18"/>
          <w:szCs w:val="18"/>
          <w:i w:val="1"/>
          <w:iCs w:val="1"/>
          <w:color w:val="auto"/>
        </w:rPr>
        <w:t>No filing or stamp taxes</w:t>
      </w:r>
      <w:r>
        <w:rPr>
          <w:rFonts w:ascii="Times New Roman" w:cs="Times New Roman" w:eastAsia="Times New Roman" w:hAnsi="Times New Roman"/>
          <w:sz w:val="18"/>
          <w:szCs w:val="18"/>
          <w:color w:val="auto"/>
        </w:rPr>
        <w:t>), 18.15 (</w:t>
      </w:r>
      <w:r>
        <w:rPr>
          <w:rFonts w:ascii="Times New Roman" w:cs="Times New Roman" w:eastAsia="Times New Roman" w:hAnsi="Times New Roman"/>
          <w:sz w:val="18"/>
          <w:szCs w:val="18"/>
          <w:i w:val="1"/>
          <w:iCs w:val="1"/>
          <w:color w:val="auto"/>
        </w:rPr>
        <w:t>No breach of laws</w:t>
      </w:r>
      <w:r>
        <w:rPr>
          <w:rFonts w:ascii="Times New Roman" w:cs="Times New Roman" w:eastAsia="Times New Roman" w:hAnsi="Times New Roman"/>
          <w:sz w:val="18"/>
          <w:szCs w:val="18"/>
          <w:color w:val="auto"/>
        </w:rPr>
        <w:t>) to 18.17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paragraph</w:t>
      </w:r>
    </w:p>
    <w:p>
      <w:pPr>
        <w:ind w:left="660" w:hanging="4"/>
        <w:spacing w:after="0" w:line="260" w:lineRule="auto"/>
        <w:tabs>
          <w:tab w:leader="none" w:pos="92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18.18 (</w:t>
      </w:r>
      <w:r>
        <w:rPr>
          <w:rFonts w:ascii="Times New Roman" w:cs="Times New Roman" w:eastAsia="Times New Roman" w:hAnsi="Times New Roman"/>
          <w:sz w:val="18"/>
          <w:szCs w:val="18"/>
          <w:i w:val="1"/>
          <w:iCs w:val="1"/>
          <w:color w:val="auto"/>
        </w:rPr>
        <w:t>Anti-corruption laws and Anti-Money Laundering Laws</w:t>
      </w:r>
      <w:r>
        <w:rPr>
          <w:rFonts w:ascii="Times New Roman" w:cs="Times New Roman" w:eastAsia="Times New Roman" w:hAnsi="Times New Roman"/>
          <w:sz w:val="18"/>
          <w:szCs w:val="18"/>
          <w:color w:val="auto"/>
        </w:rPr>
        <w:t>), 18.19 (</w:t>
      </w:r>
      <w:r>
        <w:rPr>
          <w:rFonts w:ascii="Times New Roman" w:cs="Times New Roman" w:eastAsia="Times New Roman" w:hAnsi="Times New Roman"/>
          <w:sz w:val="18"/>
          <w:szCs w:val="18"/>
          <w:i w:val="1"/>
          <w:iCs w:val="1"/>
          <w:color w:val="auto"/>
        </w:rPr>
        <w:t>Security and Financial Indebtedness</w:t>
      </w:r>
      <w:r>
        <w:rPr>
          <w:rFonts w:ascii="Times New Roman" w:cs="Times New Roman" w:eastAsia="Times New Roman" w:hAnsi="Times New Roman"/>
          <w:sz w:val="18"/>
          <w:szCs w:val="18"/>
          <w:color w:val="auto"/>
        </w:rPr>
        <w:t>), 18.20 (</w:t>
      </w:r>
      <w:r>
        <w:rPr>
          <w:rFonts w:ascii="Times New Roman" w:cs="Times New Roman" w:eastAsia="Times New Roman" w:hAnsi="Times New Roman"/>
          <w:sz w:val="18"/>
          <w:szCs w:val="18"/>
          <w:i w:val="1"/>
          <w:iCs w:val="1"/>
          <w:color w:val="auto"/>
        </w:rPr>
        <w:t>Good title to assets</w:t>
      </w:r>
      <w:r>
        <w:rPr>
          <w:rFonts w:ascii="Times New Roman" w:cs="Times New Roman" w:eastAsia="Times New Roman" w:hAnsi="Times New Roman"/>
          <w:sz w:val="18"/>
          <w:szCs w:val="18"/>
          <w:color w:val="auto"/>
        </w:rPr>
        <w:t>) and 18.22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are deemed to be made by reference to the facts and circumstances then existing on:</w:t>
      </w:r>
    </w:p>
    <w:p>
      <w:pPr>
        <w:spacing w:after="0" w:line="181" w:lineRule="exact"/>
        <w:rPr>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Obligor, the date of each Utilisation Request and the first day of each Interest Period;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Additional Obligor, the day on which the company becomes (and on which it is proposed that the company becomes) an Additional Obligor.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1" w:name="page272"/>
    <w:bookmarkEnd w:id="271"/>
    <w:p>
      <w:pPr>
        <w:ind w:left="660" w:hanging="652"/>
        <w:spacing w:after="0"/>
        <w:tabs>
          <w:tab w:leader="none" w:pos="6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UNDERTAKINGS</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undertakings in this Clause 19 remain in force from the date of this Agreement for so long as any amount is outstanding under the Finance Documents or any Commitment is in force.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supply to the Agent in sufficient copies for all the Lenders:</w:t>
      </w:r>
    </w:p>
    <w:p>
      <w:pPr>
        <w:spacing w:after="0" w:line="225" w:lineRule="exact"/>
        <w:rPr>
          <w:sz w:val="20"/>
          <w:szCs w:val="20"/>
          <w:color w:val="auto"/>
        </w:rPr>
      </w:pPr>
    </w:p>
    <w:p>
      <w:pPr>
        <w:ind w:left="1300" w:hanging="644"/>
        <w:spacing w:after="0" w:line="282" w:lineRule="auto"/>
        <w:tabs>
          <w:tab w:leader="none" w:pos="13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90 days after the end of each of its financial years, its audited consolidated financial statements for that financial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1960" w:hanging="656"/>
        <w:spacing w:after="0" w:line="266" w:lineRule="auto"/>
        <w:tabs>
          <w:tab w:leader="none" w:pos="19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by no later than 30 September 2025, the Original Guarantor’s audited financial statements for its financial year ending on 31 December 2024 in form and substance satisfactory to the Agent acting on behalf of the Lenders (the “</w:t>
      </w:r>
      <w:r>
        <w:rPr>
          <w:rFonts w:ascii="Times New Roman" w:cs="Times New Roman" w:eastAsia="Times New Roman" w:hAnsi="Times New Roman"/>
          <w:sz w:val="18"/>
          <w:szCs w:val="18"/>
          <w:b w:val="1"/>
          <w:bCs w:val="1"/>
          <w:color w:val="auto"/>
        </w:rPr>
        <w:t>Original Guarantor 2024 Accounts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required by the jurisdiction of incorporation of the Original Guarantor and in any event within 270 days after the end of its financial years (and to the extent that such financial statements are produced or required by the laws of the jurisdiction of incorporation of the Original Guarantor) the Original Guarantor’s audited financial statements for that financial year;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120 days after the end of each half of each of its financial years, its management report for that financial half year;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 same become available, but in any event within 120 days after the end of each half of each of its financial years, the management report of each other Obligor for that financial half year;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become available, but in any event within 90 days of the end of its Financial Quarter, its management report for that Financial Quarter (other than the fourth Financial Quarter in any financial year).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b w:val="1"/>
          <w:bCs w:val="1"/>
          <w:color w:val="auto"/>
        </w:rPr>
        <w:t>Compliance Certificate</w:t>
      </w:r>
    </w:p>
    <w:p>
      <w:pPr>
        <w:spacing w:after="0" w:line="229" w:lineRule="exact"/>
        <w:rPr>
          <w:sz w:val="20"/>
          <w:szCs w:val="20"/>
          <w:color w:val="auto"/>
        </w:rPr>
      </w:pPr>
    </w:p>
    <w:p>
      <w:pPr>
        <w:ind w:left="1300" w:hanging="644"/>
        <w:spacing w:after="0"/>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supply to the Agent, with each set of financial statements delivered pursuant to paragraph (a), (c) and (e) of Clause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Compliance Certificate setting out (in reasonable detail) computations as to compliance with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as at the date as at which those financial statements were drawn up and the list of Material Group Companies; and</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in respect of the period to which the relevant financial statements relate, detailing any claim, action, suit, proceeding or investigation commenced by any Sanctions Authority with respect to Sanctions against any member of the Group as far as the Company or any member of the Group is aware.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Compliance Certificate shall be signed by an authorised officer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2" w:name="page273"/>
    <w:bookmarkEnd w:id="27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financial statements or management reports (as applicable) delivered by the Company pursuant to Clause 19.1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shall be certified by an authorised officer of the relevant company as fairly presenting its (or, as the case may be,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condition as at the end of and for the period in relation to which those financial statements were drawn up and shall, in each case, include a balance sheet and profit and loss report.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procure that each set of financial statements of an Obligor delivered pursuant to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is prepared using GAAP, accounting practices and financial reference periods consistent with those applied in the preparation of the Original Financial Statements for that Obligor unless, in relation to any set of financial statements, it notifies the Agent that there has been a change in GAAP, the accounting practices or reference periods and its auditors (or, if appropriate, the auditors of the Obligor) deliver to the Agent:</w:t>
      </w:r>
    </w:p>
    <w:p>
      <w:pPr>
        <w:spacing w:after="0" w:line="18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change necessary for those financial statements to reflect the GAAP, accounting practices and reference periods upon which that Obligor’s Original Financial Statements were prepared;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information, in form and substance as may be reasonably required by the Agent, to enable the Lenders to determine whether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has been complied with and make an accurate comparison between the financial position indicated in those financial statements and that Obligor’s Original Financial Statements.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62" w:lineRule="exact"/>
        <w:rPr>
          <w:sz w:val="20"/>
          <w:szCs w:val="20"/>
          <w:color w:val="auto"/>
        </w:rPr>
      </w:pPr>
    </w:p>
    <w:p>
      <w:pPr>
        <w:jc w:val="both"/>
        <w:ind w:left="1300" w:hanging="644"/>
        <w:spacing w:after="0" w:line="258" w:lineRule="auto"/>
        <w:tabs>
          <w:tab w:leader="none" w:pos="13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notifies the Agent of a change in accordance with paragraph (b) above the Company and the Agent shall enter into negotiations in good faith with a view to agreeing any amendments to this Agreement which are necessary as a result of the change. To the extent practicable these amendments will be such as to ensure that the change does not result in any material alteration in the commercial effect of the obligations in this Agreement. If any amendments are agreed they shall take effect and be binding on each of the Parties in accordance with their terms.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supply to the Agent (in sufficient copies for all the Lenders, if the Agent so requests) promptly, such information regarding the financial condition, business and operations of any member of the Group as any Finance Party (through the Agent) may reasonably request, subject to paragraph (b) below, and provided that the Company shall not be required to deliver any information which it cannot deliver in accordance with applicable law or regulation or which is subject to legally binding confidentiality restrictions.</w:t>
      </w:r>
    </w:p>
    <w:p>
      <w:pPr>
        <w:spacing w:after="0" w:line="177"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financial statements required to be delivered pursuant to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any information or documentation publicly filed by an Obligor on EDGAR shall be deemed to be delivered to the Agent on the date it is so filed provided that that Obligor notifies the Agent of that filing on that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3" w:name="page274"/>
    <w:bookmarkEnd w:id="27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229" w:lineRule="exact"/>
        <w:rPr>
          <w:sz w:val="20"/>
          <w:szCs w:val="20"/>
          <w:color w:val="auto"/>
        </w:rPr>
      </w:pPr>
    </w:p>
    <w:p>
      <w:pPr>
        <w:ind w:left="1300" w:hanging="644"/>
        <w:spacing w:after="0" w:line="282" w:lineRule="auto"/>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request by the Agent, the Company shall supply to the Agent a certificate signed by an authorised signatory on its behalf certifying that no Default is continuing (or if a Default is continuing, specifying the Default and the steps, if any, being taken to remedy 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b w:val="1"/>
          <w:bCs w:val="1"/>
          <w:color w:val="auto"/>
        </w:rPr>
        <w:t>Direct electronic delivery by Company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satisfy its obligation under this Agreement to deliver any information in relation to a Lender by delivering that information directly in accordance with Clause 30.6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to the extent that Lender and the Agent agree to this method of delivery.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7"/>
          <w:szCs w:val="17"/>
          <w:b w:val="1"/>
          <w:bCs w:val="1"/>
          <w:color w:val="auto"/>
        </w:rPr>
        <w:t>“Know your customer” checks</w:t>
      </w:r>
    </w:p>
    <w:p>
      <w:pPr>
        <w:spacing w:after="0" w:line="229" w:lineRule="exact"/>
        <w:rPr>
          <w:sz w:val="20"/>
          <w:szCs w:val="20"/>
          <w:color w:val="auto"/>
        </w:rPr>
      </w:pPr>
    </w:p>
    <w:p>
      <w:pPr>
        <w:ind w:left="1300" w:hanging="644"/>
        <w:spacing w:after="0"/>
        <w:tabs>
          <w:tab w:leader="none" w:pos="13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made after the date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an Obligor (or of a Holding Company of an Obligor) after the date of this Agreement;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or transfer by a Lender of any of its rights and obligations under this Agreement to a party that is not a Lender prior to such assignment or transfer,</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4" w:name="page275"/>
    <w:bookmarkEnd w:id="274"/>
    <w:p>
      <w:pPr>
        <w:jc w:val="both"/>
        <w:ind w:left="1300" w:hanging="644"/>
        <w:spacing w:after="0" w:line="261" w:lineRule="auto"/>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not less than 10 Business Days’ prior written notice to the Agent, notify the Agent (which shall promptly notify the Lenders) of its intention to request that one of its Subsidiaries becomes an Additional Obligor pursuant to Clause 24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Obligors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b w:val="1"/>
          <w:bCs w:val="1"/>
          <w:color w:val="auto"/>
        </w:rPr>
        <w:t>No breach of legislation</w:t>
      </w:r>
    </w:p>
    <w:p>
      <w:pPr>
        <w:spacing w:after="0" w:line="229" w:lineRule="exact"/>
        <w:rPr>
          <w:sz w:val="20"/>
          <w:szCs w:val="20"/>
          <w:color w:val="auto"/>
        </w:rPr>
      </w:pPr>
    </w:p>
    <w:p>
      <w:pPr>
        <w:ind w:left="1300" w:hanging="644"/>
        <w:spacing w:after="0" w:line="282"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 Obligor be obliged under this Agreement or any Finance Document to disclose any information if doing so would constitute a breach of any applicable stock exchange rules, security laws or similar regulations.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take all reasonable steps to mitigate any circumstances which arise and could result in an Obligor not being able to disclose information as a result of paragraph (a) above.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must, so far as is permissible by law, promptly notify the Agent of any circumstance that arises where it is obliged under this Agreement or any other Finance Document to disclose information which would constitute a breach of any applicable security laws or similar regulations and that Obligor must provide the Agent with the relevant details of the applicable security laws or similar regulations and the steps it has taken to mitigate those circumstances.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COVENANTS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b w:val="1"/>
          <w:bCs w:val="1"/>
          <w:color w:val="auto"/>
        </w:rPr>
        <w:t>Financial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21"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in relation to a Relevant Period, the consolidated “net income (loss)” as shown in the latest financial statements of the Group delivered pursuant to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minus the following items:</w:t>
      </w:r>
    </w:p>
    <w:p>
      <w:pPr>
        <w:spacing w:after="0" w:line="159" w:lineRule="exact"/>
        <w:rPr>
          <w:sz w:val="20"/>
          <w:szCs w:val="20"/>
          <w:color w:val="auto"/>
        </w:rPr>
      </w:pPr>
    </w:p>
    <w:p>
      <w:pPr>
        <w:ind w:left="1300" w:hanging="644"/>
        <w:spacing w:after="0"/>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other expenses, net”;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payments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amortisation and impairment”;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non-cash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w:t>
      </w:r>
    </w:p>
    <w:p>
      <w:pPr>
        <w:spacing w:after="0" w:line="22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in each case as such item is also set out in the most recent financial statements of the Group delivered pursuant to Clause 19.1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calculated on the same basis that (i) “Adjusted EBITDA” is calculated in the IPO Registration Statement and (ii) such items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and reported in the Original Financial Statements.</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Borrowings</w:t>
      </w:r>
      <w:r>
        <w:rPr>
          <w:rFonts w:ascii="Times New Roman" w:cs="Times New Roman" w:eastAsia="Times New Roman" w:hAnsi="Times New Roman"/>
          <w:sz w:val="18"/>
          <w:szCs w:val="18"/>
          <w:color w:val="auto"/>
        </w:rPr>
        <w:t>” means, at any time, the aggregate outstanding principal, capital or nominal amount (and any fixed or minimum premium payable on redemption) of the then current consolidated Financial Indebtedness of the members of the Group, but excluding any indebtedness referred to in paragraph (g) of the definition of “Financial Indebtedness” and any guarantee or indemnity for any of that indebtedness.</w:t>
      </w:r>
    </w:p>
    <w:p>
      <w:pPr>
        <w:spacing w:after="0" w:line="17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Borrowings in a currency other than U.S. dollars shall be taken into account in its U.S. dollars equivalent at the average rate of exchange over the applicable Relevant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the annual accounting period of the Group ending on or about 31 December in each year.</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means, in respect of any Relevant Period, the ratio of Total Debt on the last day of that Relevant Period to Adjusted EBITDA in respect of that Relevant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each period of 12 months ending on a Quarter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Debt</w:t>
      </w:r>
      <w:r>
        <w:rPr>
          <w:rFonts w:ascii="Times New Roman" w:cs="Times New Roman" w:eastAsia="Times New Roman" w:hAnsi="Times New Roman"/>
          <w:sz w:val="18"/>
          <w:szCs w:val="18"/>
          <w:color w:val="auto"/>
        </w:rPr>
        <w:t>” means, at any time, the aggregate amount of all obligations of members of the Group for or in respect of Borrowings at that time.</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Equity</w:t>
      </w:r>
      <w:r>
        <w:rPr>
          <w:rFonts w:ascii="Times New Roman" w:cs="Times New Roman" w:eastAsia="Times New Roman" w:hAnsi="Times New Roman"/>
          <w:sz w:val="18"/>
          <w:szCs w:val="18"/>
          <w:color w:val="auto"/>
        </w:rPr>
        <w:t>” means the total equity of the Group as calculated on the same basis as the total equity is calculated in the Original Financial Statements of the Company.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ensure that:</w:t>
      </w:r>
    </w:p>
    <w:p>
      <w:pPr>
        <w:spacing w:after="0" w:line="223" w:lineRule="exact"/>
        <w:rPr>
          <w:sz w:val="20"/>
          <w:szCs w:val="20"/>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 Ratio</w:t>
      </w:r>
      <w:r>
        <w:rPr>
          <w:rFonts w:ascii="Times New Roman" w:cs="Times New Roman" w:eastAsia="Times New Roman" w:hAnsi="Times New Roman"/>
          <w:sz w:val="18"/>
          <w:szCs w:val="18"/>
          <w:color w:val="auto"/>
        </w:rPr>
        <w:t>: the Leverage Ratio in respect of any Relevant Period shall not exceed 3.5:1.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Equity</w:t>
      </w:r>
      <w:r>
        <w:rPr>
          <w:rFonts w:ascii="Times New Roman" w:cs="Times New Roman" w:eastAsia="Times New Roman" w:hAnsi="Times New Roman"/>
          <w:sz w:val="18"/>
          <w:szCs w:val="18"/>
          <w:color w:val="auto"/>
        </w:rPr>
        <w:t>: Total Equity shall at all times be more than or equal to U.S.$550,000,000.</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b w:val="1"/>
          <w:bCs w:val="1"/>
          <w:color w:val="auto"/>
        </w:rPr>
        <w:t>Financial testing</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covenants set out in Clause 20.2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shall be calculated in accordance with GAAP applicable to the Original Financial Statements of the Company and tested by reference to each of the financial statements delivered pursuant to paragraphs (a), (c) and (e) of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and/or each Compliance Certificate delivered pursuant to Clause 19.2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Clause 20, no item shall be included or excluded more than once in any calculation.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ind w:left="660" w:hanging="652"/>
        <w:spacing w:after="0"/>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UNDERTAKINGS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undertakings in this Clause 21 remain in force from the date of this Agreement for so long as any amount is outstanding under the Finance Documents or any Commitment is in force.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225" w:lineRule="exact"/>
        <w:rPr>
          <w:sz w:val="20"/>
          <w:szCs w:val="20"/>
          <w:color w:val="auto"/>
        </w:rPr>
      </w:pPr>
    </w:p>
    <w:p>
      <w:pPr>
        <w:ind w:left="1960" w:hanging="656"/>
        <w:spacing w:after="0"/>
        <w:tabs>
          <w:tab w:leader="none" w:pos="19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comply with and do all that is necessary to maintain in full force and effect;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promptly upon request, supply certified copies to the Agent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any Authorisation required under any law or regulation of its jurisdiction of incorporation to:</w:t>
      </w:r>
    </w:p>
    <w:p>
      <w:pPr>
        <w:spacing w:after="0" w:line="225" w:lineRule="exact"/>
        <w:rPr>
          <w:sz w:val="20"/>
          <w:szCs w:val="20"/>
          <w:color w:val="auto"/>
        </w:rPr>
      </w:pPr>
    </w:p>
    <w:p>
      <w:pPr>
        <w:ind w:left="1960" w:hanging="656"/>
        <w:spacing w:after="0"/>
        <w:tabs>
          <w:tab w:leader="none" w:pos="19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perform its material obligations under the Finance Documents;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in its jurisdiction of incorporation of any Finance Document;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its business where failure to do so has or might reasonably be expected to have a Material Adverse Effect.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Each Obligor shall comply in all respects with all applicable laws to which it may be subject, if failure so to comply would materially impair its ability to perform its obligations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b w:val="1"/>
          <w:bCs w:val="1"/>
          <w:color w:val="auto"/>
        </w:rPr>
        <w:t>Anti-corruption laws and Anti-Money Laundering Laws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use its best efforts to ensure that no other member of the Group and none of their directors, officers, or employees will) perform any actions in accordance with the Finance Documents or directly or indirectly use any part of the proceeds of the Facility for any purpose which would breach:</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Bribery Act 2010, the United States Foreign Corrupt Practices Act of 1977, the Israeli Penal Law, 1977, or other similar legislation in other jurisdictions;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Anti-Money Laundering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(and the Company shall ensure that the Group will):</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compliance in all material respects with applicable anticorruption laws and Anti-Money Laundering Laws;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and procedures reasonably designed to promote and achieve compliance with such 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7" w:name="page278"/>
    <w:bookmarkEnd w:id="27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color w:val="auto"/>
        </w:rPr>
        <w:t>Negative pledge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In this Clause 21.4, “</w:t>
      </w:r>
      <w:r>
        <w:rPr>
          <w:rFonts w:ascii="Times New Roman" w:cs="Times New Roman" w:eastAsia="Times New Roman" w:hAnsi="Times New Roman"/>
          <w:sz w:val="18"/>
          <w:szCs w:val="18"/>
          <w:b w:val="1"/>
          <w:bCs w:val="1"/>
          <w:color w:val="auto"/>
        </w:rPr>
        <w:t>Quasi-Security</w:t>
      </w:r>
      <w:r>
        <w:rPr>
          <w:rFonts w:ascii="Times New Roman" w:cs="Times New Roman" w:eastAsia="Times New Roman" w:hAnsi="Times New Roman"/>
          <w:sz w:val="18"/>
          <w:szCs w:val="18"/>
          <w:color w:val="auto"/>
        </w:rPr>
        <w:t>” means an arrangement or transaction described in paragraph (b) below and, for the avoidance of doubt, the Parties agree that a guarantee or counter-guarantee is not a “preferential arrangement having a similar effect” for the purposes of this definition of “</w:t>
      </w:r>
      <w:r>
        <w:rPr>
          <w:rFonts w:ascii="Times New Roman" w:cs="Times New Roman" w:eastAsia="Times New Roman" w:hAnsi="Times New Roman"/>
          <w:sz w:val="18"/>
          <w:szCs w:val="18"/>
          <w:b w:val="1"/>
          <w:bCs w:val="1"/>
          <w:color w:val="auto"/>
        </w:rPr>
        <w:t>Quasi-Security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hanging="644"/>
        <w:spacing w:after="0" w:line="282" w:lineRule="auto"/>
        <w:tabs>
          <w:tab w:leader="none" w:pos="13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other member of the Group will) create or permit to subsist any Security over any of its assets.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other member of the Group will):</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assets on terms whereby they are or may be leased to or re-acquired by an Obligor or any other member of the Group;</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its receivables on recourse terms;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under which money or the benefit of a bank or other account may be applied, set-off or made subject to a combination of accounts;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other preferential arrangement having a similar effect,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circumstances where the arrangement or transaction is entered into primarily as a method of raising Financial Indebtedness or of financing the acquisition of an asset.</w:t>
      </w:r>
    </w:p>
    <w:p>
      <w:pPr>
        <w:spacing w:after="0" w:line="162" w:lineRule="exact"/>
        <w:rPr>
          <w:sz w:val="20"/>
          <w:szCs w:val="20"/>
          <w:color w:val="auto"/>
        </w:rPr>
      </w:pPr>
    </w:p>
    <w:p>
      <w:pPr>
        <w:ind w:left="1300" w:hanging="644"/>
        <w:spacing w:after="0"/>
        <w:tabs>
          <w:tab w:leader="none" w:pos="1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do not apply to any Security or (as the case may be) Quasi-Security, listed below:</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combination of accounts, group account service, sweeping, notional or other cash-pooling arrangements or set-off arrangement entered into by any member of the Group in the ordinary course of its banking arrangements for the purpose of netting debit and credit balances;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close out netting or set-off arrangement pursuant to any hedging transaction entered into by a member of the Group for the purpose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any risk to which any member of the Group is exposed in its ordinary course of trading; or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interest rate or currency management operations which are carried out in the ordinary course of business and for non-speculative purposes only,</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excluding, in each case, any Security or Quasi-Security under a credit support arrangement in relation to a hedging transaction;</w:t>
      </w:r>
    </w:p>
    <w:p>
      <w:pPr>
        <w:spacing w:after="0" w:line="225" w:lineRule="exact"/>
        <w:rPr>
          <w:sz w:val="20"/>
          <w:szCs w:val="20"/>
          <w:color w:val="auto"/>
        </w:rPr>
      </w:pPr>
    </w:p>
    <w:p>
      <w:pPr>
        <w:ind w:left="5540" w:right="2360" w:hanging="4236"/>
        <w:spacing w:after="0" w:line="783" w:lineRule="auto"/>
        <w:tabs>
          <w:tab w:leader="none" w:pos="195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by operation of law and in the ordinary course of trading;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8" w:name="page279"/>
    <w:bookmarkEnd w:id="278"/>
    <w:p>
      <w:pPr>
        <w:ind w:left="840" w:hanging="656"/>
        <w:spacing w:after="0" w:line="282" w:lineRule="auto"/>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over or affecting any asset acquired by a member of the Group after the date of this Agreement if:</w:t>
      </w:r>
    </w:p>
    <w:p>
      <w:pPr>
        <w:spacing w:after="0" w:line="161"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Quasi-Security was not created in contemplation of the acquisition of that asset by a member of the Group;</w:t>
      </w:r>
    </w:p>
    <w:p>
      <w:pPr>
        <w:spacing w:after="0" w:line="161"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secured has not been increased in contemplation of or since the acquisition of that asset by a member of the Group; and</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Quasi-Security is removed or discharged within six months of the date of acquisition of such asset;</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over or affecting any asset of any company which becomes a member of the Group after the date of this Agreement, where the Security or Quasi-Security is created prior to the date on which that company becomes a member of the Group, if:</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Quasi-Security was not created in contemplation of the acquisition of that company;</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secured has not increased in contemplation of or since the acquisition of that company; and</w:t>
      </w:r>
    </w:p>
    <w:p>
      <w:pPr>
        <w:spacing w:after="0" w:line="225"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Quasi-Security is removed or discharged within six months of that company becoming a member of the Group;</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entered into pursuant to any Finance Document;</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w:t>
      </w:r>
    </w:p>
    <w:p>
      <w:pPr>
        <w:spacing w:after="0" w:line="17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by operation of law securing amounts due or which may become due under any court order or judgment or any governmental authority;</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by operation of law in respect of Taxes being contested in good faith;</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as a result of legal proceedings being contested in good faith;</w:t>
      </w:r>
    </w:p>
    <w:p>
      <w:pPr>
        <w:spacing w:after="0" w:line="22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over ownership interests in joint ventures to secure obligations to other joint venture partners which in aggregate does not exceed U.S.$25,000,000 (or its equivalent in another currency or currencies) at any time;</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9" w:name="page280"/>
    <w:bookmarkEnd w:id="279"/>
    <w:p>
      <w:pPr>
        <w:ind w:left="1960" w:right="20" w:hanging="656"/>
        <w:spacing w:after="0" w:line="282"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as a result of any escrow arrangement facilitating any disposal or acquisition not prohibited by the terms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as a consequence of any Finance Lease permitted pursuant to the definition of “Permitted Financial Indebtedness”;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as a consequence of a transaction with a liquidity provider or payment processor that is permitted pursuant to paragraph (h)of the definition of “Permitted Financial Indebtedness”;</w:t>
      </w:r>
    </w:p>
    <w:p>
      <w:pPr>
        <w:spacing w:after="0" w:line="159" w:lineRule="exact"/>
        <w:rPr>
          <w:rFonts w:ascii="Times New Roman" w:cs="Times New Roman" w:eastAsia="Times New Roman" w:hAnsi="Times New Roman"/>
          <w:sz w:val="18"/>
          <w:szCs w:val="18"/>
          <w:color w:val="auto"/>
        </w:rPr>
      </w:pPr>
    </w:p>
    <w:p>
      <w:pPr>
        <w:ind w:left="1960" w:right="20" w:hanging="656"/>
        <w:spacing w:after="0" w:line="284"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arising in connection with any Treasury Transaction permitted under Clause 21.10 (</w:t>
      </w:r>
      <w:r>
        <w:rPr>
          <w:rFonts w:ascii="Times New Roman" w:cs="Times New Roman" w:eastAsia="Times New Roman" w:hAnsi="Times New Roman"/>
          <w:sz w:val="18"/>
          <w:szCs w:val="18"/>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over or affecting any asset if Security or Quasi-Security over or affecting such asset is also provided on an equal and ratable basis in favour of the Finance Parties in respect of the obligations of the Obligors under the Finance Documents;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or Quasi-Security securing indebtedness the principal amount of which does not exceed U.S.$20,000,000 (or its equivalent in another currency or currencies).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b w:val="1"/>
          <w:bCs w:val="1"/>
          <w:color w:val="auto"/>
        </w:rPr>
        <w:t>Disposals</w:t>
      </w:r>
    </w:p>
    <w:p>
      <w:pPr>
        <w:spacing w:after="0" w:line="229" w:lineRule="exact"/>
        <w:rPr>
          <w:sz w:val="20"/>
          <w:szCs w:val="20"/>
          <w:color w:val="auto"/>
        </w:rPr>
      </w:pPr>
    </w:p>
    <w:p>
      <w:pPr>
        <w:ind w:left="1300" w:hanging="644"/>
        <w:spacing w:after="0" w:line="282" w:lineRule="auto"/>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other member of the Group will) enter into a single transaction or a series of transactions (whether related or not) and whether voluntary or involuntary to sell, lease, transfer or otherwise dispose of any asset.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any sale, lease, transfer or other disposal: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in the ordinary course of trading of the Group;</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assets in exchange for other assets comparable or superior as to type, value and quality (other than an exchange of a non-cash asset for cash);</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assets by a member of the Group to another member of the Group;</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obsolete or redundant assets;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financial assets which have been consigned to the Group by its customers;</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constituted by a licence of intellectual property rights permitted by Clause 21.15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as a result of a Security permitted by Clause 21.4 (</w:t>
      </w:r>
      <w:r>
        <w:rPr>
          <w:rFonts w:ascii="Times New Roman" w:cs="Times New Roman" w:eastAsia="Times New Roman" w:hAnsi="Times New Roman"/>
          <w:sz w:val="18"/>
          <w:szCs w:val="18"/>
          <w:i w:val="1"/>
          <w:iCs w:val="1"/>
          <w:color w:val="auto"/>
        </w:rPr>
        <w:t>Negative pledge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not otherwise prohibited under the Finance Documents;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higher of the market value or consideration receivable does not exceed U.S.$100,000,000 (or its equivalent in another currency or currencies) in any financial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b w:val="1"/>
          <w:bCs w:val="1"/>
          <w:color w:val="auto"/>
        </w:rPr>
        <w:t>Merger and continuation</w:t>
      </w:r>
    </w:p>
    <w:p>
      <w:pPr>
        <w:spacing w:after="0" w:line="229" w:lineRule="exact"/>
        <w:rPr>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enter into any amalgamation, demerger, merger or corporate reconstruction.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continue as a company incorporated under the laws of a jurisdiction outside the British Virgin Islands whether pursuant to Section 184 of the BVI Companies Act or otherwise.</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any sale, lease, transfer or other disposal permitted pursuant to Clause 21.5 (</w:t>
      </w:r>
      <w:r>
        <w:rPr>
          <w:rFonts w:ascii="Times New Roman" w:cs="Times New Roman" w:eastAsia="Times New Roman" w:hAnsi="Times New Roman"/>
          <w:sz w:val="18"/>
          <w:szCs w:val="18"/>
          <w:i w:val="1"/>
          <w:iCs w:val="1"/>
          <w:color w:val="auto"/>
        </w:rPr>
        <w:t>Disposals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b w:val="1"/>
          <w:bCs w:val="1"/>
          <w:color w:val="auto"/>
        </w:rPr>
        <w:t>Change of business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shall procure that no substantial change is made to the general nature of the business of the Group from that carried on at the date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shall maintain insurances on and in relation to its business and assets with reputable underwriters or insurance companies against those risks, and to the extent, in the Company’s reasonable judgement, is appropriate and prudent for the Group, taking into account the nature of the business and sector in which it operates and the Group’s jurisdictional footprint and size.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b w:val="1"/>
          <w:bCs w:val="1"/>
          <w:color w:val="auto"/>
        </w:rPr>
        <w:t>Financial Indebtedness</w:t>
      </w:r>
    </w:p>
    <w:p>
      <w:pPr>
        <w:spacing w:after="0" w:line="256" w:lineRule="exact"/>
        <w:rPr>
          <w:sz w:val="20"/>
          <w:szCs w:val="20"/>
          <w:color w:val="auto"/>
        </w:rPr>
      </w:pPr>
    </w:p>
    <w:p>
      <w:pPr>
        <w:ind w:left="1300" w:hanging="644"/>
        <w:spacing w:after="0" w:line="282" w:lineRule="auto"/>
        <w:tabs>
          <w:tab w:leader="none" w:pos="130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other member of the Group will) incur or allow to remain outstanding any Financial Indebtedness.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Permitted Financial Indebtedness.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b w:val="1"/>
          <w:bCs w:val="1"/>
          <w:color w:val="auto"/>
        </w:rPr>
        <w:t>Treasury Transactions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No Obligor shall (and the Company will procure that no other member of the Group will) enter into any Treasury Transaction, other than for bona fide business purposes and not for speculative purposes.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21.11</w:t>
      </w:r>
      <w:r>
        <w:rPr>
          <w:sz w:val="20"/>
          <w:szCs w:val="20"/>
          <w:color w:val="auto"/>
        </w:rPr>
        <w:tab/>
      </w:r>
      <w:r>
        <w:rPr>
          <w:rFonts w:ascii="Times New Roman" w:cs="Times New Roman" w:eastAsia="Times New Roman" w:hAnsi="Times New Roman"/>
          <w:sz w:val="17"/>
          <w:szCs w:val="17"/>
          <w:b w:val="1"/>
          <w:bCs w:val="1"/>
          <w:color w:val="auto"/>
        </w:rPr>
        <w:t>Preservation of assets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Obligor shall (and the Company shall ensure that each other member of the Group will) maintain in good working order and condition (ordinary wear and tear excepted) all of its assets necessary in the conduct of its business where failure to do so could reasonably be expected to have a Material Adverse Effect.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21.12</w:t>
      </w:r>
      <w:r>
        <w:rPr>
          <w:sz w:val="20"/>
          <w:szCs w:val="20"/>
          <w:color w:val="auto"/>
        </w:rPr>
        <w:tab/>
      </w:r>
      <w:r>
        <w:rPr>
          <w:rFonts w:ascii="Times New Roman" w:cs="Times New Roman" w:eastAsia="Times New Roman" w:hAnsi="Times New Roman"/>
          <w:sz w:val="17"/>
          <w:szCs w:val="17"/>
          <w:b w:val="1"/>
          <w:bCs w:val="1"/>
          <w:i w:val="1"/>
          <w:iCs w:val="1"/>
          <w:color w:val="auto"/>
        </w:rPr>
        <w:t xml:space="preserve">Pari passu </w:t>
      </w:r>
      <w:r>
        <w:rPr>
          <w:rFonts w:ascii="Times New Roman" w:cs="Times New Roman" w:eastAsia="Times New Roman" w:hAnsi="Times New Roman"/>
          <w:sz w:val="17"/>
          <w:szCs w:val="17"/>
          <w:b w:val="1"/>
          <w:bCs w:val="1"/>
          <w:color w:val="auto"/>
        </w:rPr>
        <w:t>ranking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Each Obligor shall ensure that at all times any unsecured and unsubordinated claims of a Finance Party against it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21.13</w:t>
      </w:r>
      <w:r>
        <w:rPr>
          <w:sz w:val="20"/>
          <w:szCs w:val="20"/>
          <w:color w:val="auto"/>
        </w:rPr>
        <w:tab/>
      </w:r>
      <w:r>
        <w:rPr>
          <w:rFonts w:ascii="Times New Roman" w:cs="Times New Roman" w:eastAsia="Times New Roman" w:hAnsi="Times New Roman"/>
          <w:sz w:val="17"/>
          <w:szCs w:val="17"/>
          <w:b w:val="1"/>
          <w:bCs w:val="1"/>
          <w:color w:val="auto"/>
        </w:rPr>
        <w:t>Arm’s length basis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Obligor shall (and the Company shall ensure that no other member of the Group will) enter into any transaction with any person except on arm’s length terms, provided that the fees, costs and expenses payable under the Finance Documents in the amounts set out in the Finance Documents delivered to the Agent under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or agreed by the Agent shall not be a breach of this Clause 21.13.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1" w:name="page282"/>
    <w:bookmarkEnd w:id="28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member of the Group will) directly or knowingly indirectly use any monies advanced under any Facility or lend, contribute or otherwise make available such proceeds to any Subsidiary, joint venture partner or other person or entity: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Sanctions Restricted Person in violation of Sanctions;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in breach of Sanctions;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manner that will result in a violation of Sanctions by any person participating in the transactions contemplated by this Agreement,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(and the Company shall ensure that no member of the Group will) directly or indirectly fund all or any part of a payment to a Finance Party out of proceeds derived from any business or transaction which is prohibited by Sanctions, which is with a Sanctions Restricted Person or which would otherwise result in a breach of Sanctions by a Finance Party.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(and the Company shall ensure that each member of the Group will) comply in all material respects with Sanctions.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ensure that each member of the Group will) implement and maintain appropriate policies and procedures 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action being taken which would be contrary to paragraph (a) or (b) above;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Sanctions.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Clause 21.14 will apply to or in favour of any person if and to the extent that it would result in a breach, by or in respect of that person, of any applicable Blocking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21.15</w:t>
      </w:r>
      <w:r>
        <w:rPr>
          <w:sz w:val="20"/>
          <w:szCs w:val="20"/>
          <w:color w:val="auto"/>
        </w:rPr>
        <w:tab/>
      </w: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shall (and the Company shall procure that each other member of the Group will):</w:t>
      </w:r>
    </w:p>
    <w:p>
      <w:pPr>
        <w:spacing w:after="0" w:line="225" w:lineRule="exact"/>
        <w:rPr>
          <w:sz w:val="20"/>
          <w:szCs w:val="20"/>
          <w:color w:val="auto"/>
        </w:rPr>
      </w:pPr>
    </w:p>
    <w:p>
      <w:pPr>
        <w:ind w:left="1960" w:hanging="656"/>
        <w:spacing w:after="0" w:line="282" w:lineRule="auto"/>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the subsistence and validity of the Intellectual Property necessary for the business of the relevant Group member;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endeavours to prevent any infringement in any material respect of the Intellectual Property;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registrations and pay all registration fees and taxes necessary to maintain the Intellectual Property in full force and effect and record its interest in that Intellectual Property;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or permit the Intellectual Property to be used in a way or take any step or omit to take any step in respect of that Intellectual Property which may materially and adversely affect the existence or value of the Intellectual Property or imperil the right of any member of the Group to use such property;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discontinue the use of the Intellectual Property,</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where failure to do so, in the case of paragraphs (i), (ii) and (iii) above, or, in the case of paragraphs (iv) and (v) above, such use, permission to use, omission or discontinuation, is reasonably likely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2" w:name="page283"/>
    <w:bookmarkEnd w:id="28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21.16</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Obligor shall (and the Company shall ensure that each member of the Group will) pay and discharge all Taxes imposed upon it or its assets within the time period allowed without incurring penalties unless and only to the extent that:</w:t>
      </w:r>
    </w:p>
    <w:p>
      <w:pPr>
        <w:spacing w:after="0" w:line="162" w:lineRule="exact"/>
        <w:rPr>
          <w:sz w:val="20"/>
          <w:szCs w:val="20"/>
          <w:color w:val="auto"/>
        </w:rPr>
      </w:pPr>
    </w:p>
    <w:p>
      <w:pPr>
        <w:ind w:left="1960" w:hanging="656"/>
        <w:spacing w:after="0"/>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being contested in good faith;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reserves are being maintained for those Taxes;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can be lawfully withheld and failure to pay those Taxes does not have or is not reasonably likely to have a Material Adverse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21.17</w:t>
      </w:r>
      <w:r>
        <w:rPr>
          <w:sz w:val="20"/>
          <w:szCs w:val="20"/>
          <w:color w:val="auto"/>
        </w:rPr>
        <w:tab/>
      </w:r>
      <w:r>
        <w:rPr>
          <w:rFonts w:ascii="Times New Roman" w:cs="Times New Roman" w:eastAsia="Times New Roman" w:hAnsi="Times New Roman"/>
          <w:sz w:val="17"/>
          <w:szCs w:val="17"/>
          <w:b w:val="1"/>
          <w:bCs w:val="1"/>
          <w:color w:val="auto"/>
        </w:rPr>
        <w:t>Environmental compliance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Obligor shall (and the Company shall ensure that each member of the Group will):</w:t>
      </w:r>
    </w:p>
    <w:p>
      <w:pPr>
        <w:spacing w:after="0" w:line="225" w:lineRule="exact"/>
        <w:rPr>
          <w:sz w:val="20"/>
          <w:szCs w:val="20"/>
          <w:color w:val="auto"/>
        </w:rPr>
      </w:pPr>
    </w:p>
    <w:p>
      <w:pPr>
        <w:ind w:left="1960" w:hanging="656"/>
        <w:spacing w:after="0"/>
        <w:tabs>
          <w:tab w:leader="none" w:pos="19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Environmental Law;</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ensure compliance with all requisite Environmental Permits;</w:t>
      </w:r>
    </w:p>
    <w:p>
      <w:pPr>
        <w:spacing w:after="0" w:line="225" w:lineRule="exact"/>
        <w:rPr>
          <w:rFonts w:ascii="Times New Roman" w:cs="Times New Roman" w:eastAsia="Times New Roman" w:hAnsi="Times New Roman"/>
          <w:sz w:val="18"/>
          <w:szCs w:val="18"/>
          <w:color w:val="auto"/>
        </w:rPr>
      </w:pPr>
    </w:p>
    <w:p>
      <w:pPr>
        <w:ind w:left="1300" w:right="1700" w:firstLine="4"/>
        <w:spacing w:after="0" w:line="498" w:lineRule="auto"/>
        <w:tabs>
          <w:tab w:leader="none" w:pos="194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procedures to monitor compliance with and to prevent liability under any Environmental Law, where failure to do so has or is reasonably likely to have a Material Adverse Effect.</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21.18</w:t>
      </w:r>
      <w:r>
        <w:rPr>
          <w:sz w:val="20"/>
          <w:szCs w:val="20"/>
          <w:color w:val="auto"/>
        </w:rPr>
        <w:tab/>
      </w:r>
      <w:r>
        <w:rPr>
          <w:rFonts w:ascii="Times New Roman" w:cs="Times New Roman" w:eastAsia="Times New Roman" w:hAnsi="Times New Roman"/>
          <w:sz w:val="17"/>
          <w:szCs w:val="17"/>
          <w:b w:val="1"/>
          <w:bCs w:val="1"/>
          <w:color w:val="auto"/>
        </w:rPr>
        <w:t>Environmental Claims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Each Obligor shall (through the Company), promptly upon becoming aware of the same, inform the Agent in writing of:</w:t>
      </w:r>
    </w:p>
    <w:p>
      <w:pPr>
        <w:spacing w:after="0" w:line="225" w:lineRule="exact"/>
        <w:rPr>
          <w:sz w:val="20"/>
          <w:szCs w:val="20"/>
          <w:color w:val="auto"/>
        </w:rPr>
      </w:pPr>
    </w:p>
    <w:p>
      <w:pPr>
        <w:ind w:left="1960" w:hanging="656"/>
        <w:spacing w:after="0"/>
        <w:tabs>
          <w:tab w:leader="none" w:pos="19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Claim against any member of the Group which is current, pending or threatened;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facts or circumstances which are reasonably likely to result in any Environmental Claim being commenced or threatened against any member of the Group,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 the claim, if determined against that member of the Group, has or is reasonably likely to have a Material Adverse Effect.</w:t>
      </w:r>
    </w:p>
    <w:p>
      <w:pPr>
        <w:spacing w:after="0" w:line="221" w:lineRule="exact"/>
        <w:rPr>
          <w:sz w:val="20"/>
          <w:szCs w:val="20"/>
          <w:color w:val="auto"/>
        </w:rPr>
      </w:pPr>
    </w:p>
    <w:p>
      <w:pPr>
        <w:ind w:left="660" w:hanging="652"/>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events or circumstances set out in this Clause 22 is an Event of Default (save for Clause 22.14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 Obligor does not pay on the due date any amount payable pursuant to a Finance Document at the place at and in the currency in which it is expressed to be payable unless:</w:t>
      </w:r>
    </w:p>
    <w:p>
      <w:pPr>
        <w:spacing w:after="0" w:line="162" w:lineRule="exact"/>
        <w:rPr>
          <w:sz w:val="20"/>
          <w:szCs w:val="20"/>
          <w:color w:val="auto"/>
        </w:rPr>
      </w:pPr>
    </w:p>
    <w:p>
      <w:pPr>
        <w:ind w:left="1300" w:hanging="644"/>
        <w:spacing w:after="0"/>
        <w:tabs>
          <w:tab w:leader="none" w:pos="13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is made within five Business Days of its due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3" w:name="page284"/>
    <w:bookmarkEnd w:id="28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b w:val="1"/>
          <w:bCs w:val="1"/>
          <w:color w:val="auto"/>
        </w:rPr>
        <w:t>Financial covenants</w:t>
      </w:r>
    </w:p>
    <w:p>
      <w:pPr>
        <w:spacing w:after="0" w:line="227" w:lineRule="exact"/>
        <w:rPr>
          <w:sz w:val="20"/>
          <w:szCs w:val="20"/>
          <w:color w:val="auto"/>
        </w:rPr>
      </w:pPr>
    </w:p>
    <w:p>
      <w:pPr>
        <w:ind w:left="1300" w:hanging="644"/>
        <w:spacing w:after="0"/>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of Clause 20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is not satisfied.</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(c) and (d) below, no Event of Default under paragraph (a) will occur in respect of the Leverage Ratio for a Relevant Period, if on or prior to the date falling five Business Days after the date on which the relevant financial statements in respect of that Relevant Period are delivered to the Agent under (a), (c) or (e) of Clause 19.1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and/or each Compliance Certificate delivered pursuant to Clause 19.2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Cure Date</w:t>
      </w:r>
      <w:r>
        <w:rPr>
          <w:rFonts w:ascii="Times New Roman" w:cs="Times New Roman" w:eastAsia="Times New Roman" w:hAnsi="Times New Roman"/>
          <w:sz w:val="18"/>
          <w:szCs w:val="18"/>
          <w:color w:val="auto"/>
        </w:rPr>
        <w:t>”) a Cash Cure is made which ensures that had Borrowings been reduced by the Cash Cure Amount of that Cash Cure, as at the last day of the Relevant Period, the breach of the Leverage Ratio would not have occurred.</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above will only apply if each of the following conditions is satisfied: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Agent a certificate in the agreed form within 5 Business Days after the date on which the relevant Compliance Certificate referred to in paragraph (b) above was due to be delivered;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 shall be signed by the Chief Financial Officer and one other director of the Company and shall confirm the Cash Cure Amount applied by the relevant member of the Group;</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shall be accompanied by a revised Compliance Certificate setting out calculations in reasonable detail indicating compliance with the ratios in Clause 27.2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after taking into account the Cash Cure Amount used to remedy the non-compliance;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make any such election to use a Cash Cure: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once in respect of any Relevant Period;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times over the life of the Facility;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consecutive Relevant Periods.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Cure Amount as contemplated by this Clause 22: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reduce the Total Debt by the Cash Cure Amount; and</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have been applied (and the relevant prepayment or repayment made) on the last day of the Relevant Period in respect of which they are to be taken into account to remedy non-compliance with the Leverage Ratio pursuant to Clause 20.2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b w:val="1"/>
          <w:bCs w:val="1"/>
          <w:color w:val="auto"/>
        </w:rPr>
        <w:t>Other obligations</w:t>
      </w:r>
    </w:p>
    <w:p>
      <w:pPr>
        <w:spacing w:after="0" w:line="227" w:lineRule="exact"/>
        <w:rPr>
          <w:sz w:val="20"/>
          <w:szCs w:val="20"/>
          <w:color w:val="auto"/>
        </w:rPr>
      </w:pPr>
    </w:p>
    <w:p>
      <w:pPr>
        <w:ind w:left="1300" w:hanging="644"/>
        <w:spacing w:after="0" w:line="284" w:lineRule="auto"/>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does not comply with any provision of the Finance Documents (other than those referred to in Clause 22.1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and Clause 22.2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 below, if the failure to comply is capable of remedy and is remedied within 20 Business Days; or</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Clause 19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if the failure to comply is capable of remedy and is remedied within 10 Business Days,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of the earlier of (A) the Agent giving notice to the Company and (B) the Company becoming aware of the failure to comply.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4" w:name="page285"/>
    <w:bookmarkEnd w:id="28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(other than an Event of Default occurring as a result of a misrepresentation in Clause 18.21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will occur if the circumstances giving rise to the misrepresentation are capable of remedy and such misrepresentation is remedied within 20 Business Days of the earlier of (i) the Agent giving notice to the Company and (ii) the Company becoming aware of such misrepresentation.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229" w:lineRule="exact"/>
        <w:rPr>
          <w:sz w:val="20"/>
          <w:szCs w:val="20"/>
          <w:color w:val="auto"/>
        </w:rPr>
      </w:pPr>
    </w:p>
    <w:p>
      <w:pPr>
        <w:ind w:left="1300" w:hanging="644"/>
        <w:spacing w:after="0"/>
        <w:tabs>
          <w:tab w:leader="none" w:pos="13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member of the Group is not paid when due nor within any originally applicable grace period.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member of the Group is declared to be or otherwise becomes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for any Financial Indebtedness of any member of the Group is cancelled or suspended by a creditor of any member of the Group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member of the Group becomes entitled to declare any Financial Indebtedness of any member of the Group due and payable prior to its specified maturity as a result of an event of default (however described).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22.5 if:</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Financial Indebtedness or commitment for Financial Indebtedness falling within paragraphs (a) to (d) above is less than: (x) in the case of any Ordinary Course Derivative Liabilities and subject to paragraph (ii) below, U.S.$40,000,000 (or its equivalent in any other currency or currencies), or (y) U.S.$25,000,000 (or its equivalent in any other currency or currencies); or</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failure to pay on the due date or within any applicable grace period in respect of any Ordinary Course Derivative Liabilities:</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failure to pay is caused by:</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3"/>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3"/>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is made within three Business Days of its due date or expiry of any applicable grace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5" w:name="page286"/>
    <w:bookmarkEnd w:id="28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229" w:lineRule="exact"/>
        <w:rPr>
          <w:sz w:val="20"/>
          <w:szCs w:val="20"/>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Group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be insolvent or is unable or admits inability to pay its debts as they fall due;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making payments on any of its debts;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a Material Group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becomes “insolvent” as that expression is specified in Section 8(1) of the BVI Insolvency 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formal corporate action, legal proceedings or other procedure or step is taken in relation to:</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payments, a moratorium or stay of proceedings in respect of any indebtedness, winding-up, dissolution, administration or reorganisation (by way of voluntary arrangement, scheme of arrangement or otherwise) of any Material Group Company other than a solvent liquidation or reorganisation of any Material Group Company which is not an Obligor;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creditor of any Material Group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(other than in respect of a solvent liquidation of a Material Group Company which is not an Obligor), receiver, administrative receiver, administrator, compulsory manager or other similar officer in respect of any Material Group Company or any of their assets;</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an order by an Israeli court for the commencement of insolvency proceedings (“</w:t>
      </w:r>
      <w:r>
        <w:rPr>
          <w:rFonts w:ascii="Times New Roman" w:cs="Times New Roman" w:eastAsia="Times New Roman" w:hAnsi="Times New Roman"/>
          <w:sz w:val="18"/>
          <w:szCs w:val="18"/>
          <w:i w:val="1"/>
          <w:iCs w:val="1"/>
          <w:color w:val="auto"/>
        </w:rPr>
        <w:t>tsav le-ptichat halichim</w:t>
      </w:r>
      <w:r>
        <w:rPr>
          <w:rFonts w:ascii="Times New Roman" w:cs="Times New Roman" w:eastAsia="Times New Roman" w:hAnsi="Times New Roman"/>
          <w:sz w:val="18"/>
          <w:szCs w:val="18"/>
          <w:color w:val="auto"/>
        </w:rPr>
        <w:t>”) (as defined in the Israeli Insolvency Law) against a Material Group Company in Israel; or</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any Security over any assets of any Material Group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any analogous procedure or step is taken in any jurisdiction.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Clause 22.7 shall not apply to any procedure or step taken by a person which is not a member of the Group and which is being contested in good faith and which is discharged, stayed or dismissed within 30 days of commencement or any enforcement of any Security over any asset or assets of a Material Group Company having an aggregate value of less than U.S.$25,000,000 (or its equivalent in any other currency or currencies).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6" w:name="page287"/>
    <w:bookmarkEnd w:id="28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229" w:lineRule="exact"/>
        <w:rPr>
          <w:sz w:val="20"/>
          <w:szCs w:val="20"/>
          <w:color w:val="auto"/>
        </w:rPr>
      </w:pPr>
    </w:p>
    <w:p>
      <w:pPr>
        <w:ind w:left="660" w:hanging="652"/>
        <w:spacing w:after="0" w:line="282"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expropriation, attachment, sequestration, distress or execution affects any asset or assets of a Material Group Company and is not discharged within 20 Business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this Clause 22.8 if the aggregate value of the asset or assets affected by any event described in paragraph (a) above is less than U.S.$25,000,000 (or its equivalent in any other currency or currencies).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Material Group Company suspends or ceases to carry on (or threatens to suspend or cease to carry on) all or a material part of its business.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22.10</w:t>
      </w:r>
      <w:r>
        <w:rPr>
          <w:sz w:val="20"/>
          <w:szCs w:val="20"/>
          <w:color w:val="auto"/>
        </w:rPr>
        <w:tab/>
      </w:r>
      <w:r>
        <w:rPr>
          <w:rFonts w:ascii="Times New Roman" w:cs="Times New Roman" w:eastAsia="Times New Roman" w:hAnsi="Times New Roman"/>
          <w:sz w:val="17"/>
          <w:szCs w:val="17"/>
          <w:b w:val="1"/>
          <w:bCs w:val="1"/>
          <w:color w:val="auto"/>
        </w:rPr>
        <w:t>Ownership of the Obligors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Obligor (other than the Company) is not or ceases to be a Subsidiary of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b w:val="1"/>
          <w:bCs w:val="1"/>
          <w:color w:val="auto"/>
        </w:rPr>
        <w:t>Unlawfulness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or becomes unlawful for an Obligor to perform any of its obligations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22.12</w:t>
      </w:r>
      <w:r>
        <w:rPr>
          <w:sz w:val="20"/>
          <w:szCs w:val="20"/>
          <w:color w:val="auto"/>
        </w:rPr>
        <w:tab/>
      </w:r>
      <w:r>
        <w:rPr>
          <w:rFonts w:ascii="Times New Roman" w:cs="Times New Roman" w:eastAsia="Times New Roman" w:hAnsi="Times New Roman"/>
          <w:sz w:val="17"/>
          <w:szCs w:val="17"/>
          <w:b w:val="1"/>
          <w:bCs w:val="1"/>
          <w:color w:val="auto"/>
        </w:rPr>
        <w:t>Repudiation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Obligor repudiates a Finance Document or evidences an intention to repudiate a Finance Document.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22.13</w:t>
      </w:r>
      <w:r>
        <w:rPr>
          <w:sz w:val="20"/>
          <w:szCs w:val="20"/>
          <w:color w:val="auto"/>
        </w:rPr>
        <w:tab/>
      </w:r>
      <w:r>
        <w:rPr>
          <w:rFonts w:ascii="Times New Roman" w:cs="Times New Roman" w:eastAsia="Times New Roman" w:hAnsi="Times New Roman"/>
          <w:sz w:val="17"/>
          <w:szCs w:val="17"/>
          <w:b w:val="1"/>
          <w:bCs w:val="1"/>
          <w:color w:val="auto"/>
        </w:rPr>
        <w:t>Expropriation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authority or ability of any Material Group Company to conduct its business is limited or wholly or substantially curtailed by any seizure, expropriation, nationalisation, compulsory acquisition, intervention, restriction or other action by or on behalf of any governmental, regulatory or other authority or other person in relation to any Material Group Company or any of their assets or the shares in that Material Group Company (including without limitation the displacement of all or part of the management of any Material Group Company), in each case which would reasonably be expected to result in a Material Adverse Effect.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22.14</w:t>
      </w:r>
      <w:r>
        <w:rPr>
          <w:sz w:val="20"/>
          <w:szCs w:val="20"/>
          <w:color w:val="auto"/>
        </w:rPr>
        <w:tab/>
      </w:r>
      <w:r>
        <w:rPr>
          <w:rFonts w:ascii="Times New Roman" w:cs="Times New Roman" w:eastAsia="Times New Roman" w:hAnsi="Times New Roman"/>
          <w:sz w:val="17"/>
          <w:szCs w:val="17"/>
          <w:b w:val="1"/>
          <w:bCs w:val="1"/>
          <w:color w:val="auto"/>
        </w:rPr>
        <w:t>Acceleration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Agent may, and shall if so directed by the Majority Lenders, by notice to the Company:</w:t>
      </w:r>
    </w:p>
    <w:p>
      <w:pPr>
        <w:spacing w:after="0" w:line="162" w:lineRule="exact"/>
        <w:rPr>
          <w:sz w:val="20"/>
          <w:szCs w:val="20"/>
          <w:color w:val="auto"/>
        </w:rPr>
      </w:pPr>
    </w:p>
    <w:p>
      <w:pPr>
        <w:ind w:left="1960" w:hanging="656"/>
        <w:spacing w:after="0" w:line="282"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each Available Commitment of each Lender whereupon each such Available Commitment shall immediately be cancelled and each Facility shall immediately cease to be available for further Utilisation;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Loans be payable on demand, whereupon they shall immediately become payable on demand by the Agent on the instructions of the Majority Lenders.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TO PARTIES</w:t>
      </w:r>
    </w:p>
    <w:p>
      <w:pPr>
        <w:spacing w:after="0" w:line="225" w:lineRule="exact"/>
        <w:rPr>
          <w:sz w:val="20"/>
          <w:szCs w:val="20"/>
          <w:color w:val="auto"/>
        </w:rPr>
      </w:pPr>
    </w:p>
    <w:p>
      <w:pPr>
        <w:ind w:left="660" w:hanging="652"/>
        <w:spacing w:after="0"/>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LENDERS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b w:val="1"/>
          <w:bCs w:val="1"/>
          <w:color w:val="auto"/>
        </w:rPr>
        <w:t>Assignments and transfers by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this Clause 23,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229" w:lineRule="exact"/>
        <w:rPr>
          <w:sz w:val="20"/>
          <w:szCs w:val="20"/>
          <w:color w:val="auto"/>
        </w:rPr>
      </w:pPr>
    </w:p>
    <w:p>
      <w:pPr>
        <w:jc w:val="both"/>
        <w:ind w:left="1960" w:hanging="656"/>
        <w:spacing w:after="0" w:line="266" w:lineRule="auto"/>
        <w:tabs>
          <w:tab w:leader="none" w:pos="19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 transfer by novation any of its rights and obligations 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sub-participation (or similar arrangement) in relation to any of its rights and obligations.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b w:val="1"/>
          <w:bCs w:val="1"/>
          <w:color w:val="auto"/>
        </w:rPr>
        <w:t>Company consent</w:t>
      </w:r>
    </w:p>
    <w:p>
      <w:pPr>
        <w:spacing w:after="0" w:line="229" w:lineRule="exact"/>
        <w:rPr>
          <w:sz w:val="20"/>
          <w:szCs w:val="20"/>
          <w:color w:val="auto"/>
        </w:rPr>
      </w:pPr>
    </w:p>
    <w:p>
      <w:pPr>
        <w:ind w:left="660" w:hanging="328"/>
        <w:spacing w:after="0" w:line="282" w:lineRule="auto"/>
        <w:tabs>
          <w:tab w:leader="none" w:pos="6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Company is required for an assignment, transfer or sub-participation where voting rights are transferred to the sub-participant by an Existing Lender, unless the assignment transfer or sub-participation is: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another Lender or an Affiliate of any Lender;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at a time when an Event of Default (other than a Specified Event) is continuing, and such assignment, transfer or sub-participation is to a bank or financial institution that in each case qualifies as an Acceptable Bank;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at a time when a Specified Event is continuing.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Company to an assignment, transfer or sub-participation must not be unreasonably withheld or delayed. The Company will be deemed to have given its consent 10 Business Days after the Existing Lender has requested it unless consent is expressly refused by the Company within that time.</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23.2, “</w:t>
      </w:r>
      <w:r>
        <w:rPr>
          <w:rFonts w:ascii="Times New Roman" w:cs="Times New Roman" w:eastAsia="Times New Roman" w:hAnsi="Times New Roman"/>
          <w:sz w:val="18"/>
          <w:szCs w:val="18"/>
          <w:b w:val="1"/>
          <w:bCs w:val="1"/>
          <w:color w:val="auto"/>
        </w:rPr>
        <w:t>Specified Event</w:t>
      </w:r>
      <w:r>
        <w:rPr>
          <w:rFonts w:ascii="Times New Roman" w:cs="Times New Roman" w:eastAsia="Times New Roman" w:hAnsi="Times New Roman"/>
          <w:sz w:val="18"/>
          <w:szCs w:val="18"/>
          <w:color w:val="auto"/>
        </w:rPr>
        <w:t>” means an Event of Default arising under Clauses 22.1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22.2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22.6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22.7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22.8 (</w:t>
      </w:r>
      <w:r>
        <w:rPr>
          <w:rFonts w:ascii="Times New Roman" w:cs="Times New Roman" w:eastAsia="Times New Roman" w:hAnsi="Times New Roman"/>
          <w:sz w:val="18"/>
          <w:szCs w:val="18"/>
          <w:i w:val="1"/>
          <w:iCs w:val="1"/>
          <w:color w:val="auto"/>
        </w:rPr>
        <w:t>Creditors’ process</w:t>
      </w:r>
      <w:r>
        <w:rPr>
          <w:rFonts w:ascii="Times New Roman" w:cs="Times New Roman" w:eastAsia="Times New Roman" w:hAnsi="Times New Roman"/>
          <w:sz w:val="18"/>
          <w:szCs w:val="18"/>
          <w:color w:val="auto"/>
        </w:rPr>
        <w:t>), 22.9 (</w:t>
      </w:r>
      <w:r>
        <w:rPr>
          <w:rFonts w:ascii="Times New Roman" w:cs="Times New Roman" w:eastAsia="Times New Roman" w:hAnsi="Times New Roman"/>
          <w:sz w:val="18"/>
          <w:szCs w:val="18"/>
          <w:i w:val="1"/>
          <w:iCs w:val="1"/>
          <w:color w:val="auto"/>
        </w:rPr>
        <w:t>Cessation of business</w:t>
      </w:r>
      <w:r>
        <w:rPr>
          <w:rFonts w:ascii="Times New Roman" w:cs="Times New Roman" w:eastAsia="Times New Roman" w:hAnsi="Times New Roman"/>
          <w:sz w:val="18"/>
          <w:szCs w:val="18"/>
          <w:color w:val="auto"/>
        </w:rPr>
        <w:t>), 22.12 (</w:t>
      </w:r>
      <w:r>
        <w:rPr>
          <w:rFonts w:ascii="Times New Roman" w:cs="Times New Roman" w:eastAsia="Times New Roman" w:hAnsi="Times New Roman"/>
          <w:sz w:val="18"/>
          <w:szCs w:val="18"/>
          <w:i w:val="1"/>
          <w:iCs w:val="1"/>
          <w:color w:val="auto"/>
        </w:rPr>
        <w:t>Repudiation</w:t>
      </w:r>
      <w:r>
        <w:rPr>
          <w:rFonts w:ascii="Times New Roman" w:cs="Times New Roman" w:eastAsia="Times New Roman" w:hAnsi="Times New Roman"/>
          <w:sz w:val="18"/>
          <w:szCs w:val="18"/>
          <w:color w:val="auto"/>
        </w:rPr>
        <w:t>) and paragraphs (b) and (c) of Clause 22.5 (</w:t>
      </w:r>
      <w:r>
        <w:rPr>
          <w:rFonts w:ascii="Times New Roman" w:cs="Times New Roman" w:eastAsia="Times New Roman" w:hAnsi="Times New Roman"/>
          <w:sz w:val="18"/>
          <w:szCs w:val="18"/>
          <w:i w:val="1"/>
          <w:iCs w:val="1"/>
          <w:color w:val="auto"/>
        </w:rPr>
        <w:t>Cross default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b w:val="1"/>
          <w:bCs w:val="1"/>
          <w:color w:val="auto"/>
        </w:rPr>
        <w:t>Other conditions of assignment, transfer or sub-participation</w:t>
      </w:r>
    </w:p>
    <w:p>
      <w:pPr>
        <w:spacing w:after="0" w:line="229" w:lineRule="exact"/>
        <w:rPr>
          <w:sz w:val="20"/>
          <w:szCs w:val="20"/>
          <w:color w:val="auto"/>
        </w:rPr>
      </w:pPr>
    </w:p>
    <w:p>
      <w:pPr>
        <w:ind w:left="1300" w:hanging="644"/>
        <w:spacing w:after="0"/>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will only be effective 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will only be effective if the procedure set out in Clause 23.6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8" w:name="page289"/>
    <w:bookmarkEnd w:id="288"/>
    <w:p>
      <w:pPr>
        <w:ind w:left="1300" w:hanging="644"/>
        <w:spacing w:after="0"/>
        <w:tabs>
          <w:tab w:leader="none" w:pos="130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transfers or sub-participates any of its rights or obligations under the Finance Documents or changes its Facility Office;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or change occurs, an Obligor would be obliged to make a payment to the New Lender or Lender acting through its new Facility Office under Clause 12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13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subparticipation or change had not occurred.</w:t>
      </w:r>
    </w:p>
    <w:p>
      <w:pPr>
        <w:spacing w:after="0" w:line="176" w:lineRule="exact"/>
        <w:rPr>
          <w:sz w:val="20"/>
          <w:szCs w:val="20"/>
          <w:color w:val="auto"/>
        </w:rPr>
      </w:pPr>
    </w:p>
    <w:p>
      <w:pPr>
        <w:jc w:val="both"/>
        <w:ind w:left="1300" w:hanging="644"/>
        <w:spacing w:after="0" w:line="258" w:lineRule="auto"/>
        <w:tabs>
          <w:tab w:leader="none" w:pos="13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Lender shall, on the date upon which an assignment or transfer takes effect, pay to the Agent (for its own account) a fee of U.S.$3,500.</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229" w:lineRule="exact"/>
        <w:rPr>
          <w:sz w:val="20"/>
          <w:szCs w:val="20"/>
          <w:color w:val="auto"/>
        </w:rPr>
      </w:pPr>
    </w:p>
    <w:p>
      <w:pPr>
        <w:ind w:left="1300" w:hanging="644"/>
        <w:spacing w:after="0" w:line="282" w:lineRule="auto"/>
        <w:tabs>
          <w:tab w:leader="none" w:pos="13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any Obligor;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of its obligations under the Finance Documents or any other documents;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225" w:lineRule="exact"/>
        <w:rPr>
          <w:sz w:val="20"/>
          <w:szCs w:val="20"/>
          <w:color w:val="auto"/>
        </w:rPr>
      </w:pPr>
    </w:p>
    <w:p>
      <w:pPr>
        <w:ind w:left="1300" w:hanging="644"/>
        <w:spacing w:after="0"/>
        <w:tabs>
          <w:tab w:leader="none" w:pos="13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and the other Finance Parties that it: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9" w:name="page290"/>
    <w:bookmarkEnd w:id="289"/>
    <w:p>
      <w:pPr>
        <w:ind w:left="1300" w:hanging="644"/>
        <w:spacing w:after="0"/>
        <w:tabs>
          <w:tab w:leader="none" w:pos="13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or re-assignment from a New Lender of any of the rights and obligations assigned or transferred under this Clause 23;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Finance Documents or otherwise.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b w:val="1"/>
          <w:bCs w:val="1"/>
          <w:color w:val="auto"/>
        </w:rPr>
        <w:t>Procedure for transfer</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23.2 (</w:t>
      </w:r>
      <w:r>
        <w:rPr>
          <w:rFonts w:ascii="Times New Roman" w:cs="Times New Roman" w:eastAsia="Times New Roman" w:hAnsi="Times New Roman"/>
          <w:sz w:val="18"/>
          <w:szCs w:val="18"/>
          <w:i w:val="1"/>
          <w:iCs w:val="1"/>
          <w:color w:val="auto"/>
        </w:rPr>
        <w:t>Company consent</w:t>
      </w:r>
      <w:r>
        <w:rPr>
          <w:rFonts w:ascii="Times New Roman" w:cs="Times New Roman" w:eastAsia="Times New Roman" w:hAnsi="Times New Roman"/>
          <w:sz w:val="18"/>
          <w:szCs w:val="18"/>
          <w:color w:val="auto"/>
        </w:rPr>
        <w:t>) and Clause 23.3 (</w:t>
      </w:r>
      <w:r>
        <w:rPr>
          <w:rFonts w:ascii="Times New Roman" w:cs="Times New Roman" w:eastAsia="Times New Roman" w:hAnsi="Times New Roman"/>
          <w:sz w:val="18"/>
          <w:szCs w:val="18"/>
          <w:i w:val="1"/>
          <w:iCs w:val="1"/>
          <w:color w:val="auto"/>
        </w:rPr>
        <w:t>Other conditions of assignment or transfer</w:t>
      </w:r>
      <w:r>
        <w:rPr>
          <w:rFonts w:ascii="Times New Roman" w:cs="Times New Roman" w:eastAsia="Times New Roman" w:hAnsi="Times New Roman"/>
          <w:sz w:val="18"/>
          <w:szCs w:val="18"/>
          <w:color w:val="auto"/>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23.10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on the Transfer Date:</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Arranger,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 and the Existing Lender shall each be released from further obligations to each other under the Finance Documents; and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b w:val="1"/>
          <w:bCs w:val="1"/>
          <w:color w:val="auto"/>
        </w:rPr>
        <w:t>Procedure for assignment</w:t>
      </w:r>
    </w:p>
    <w:p>
      <w:pPr>
        <w:spacing w:after="0" w:line="227" w:lineRule="exact"/>
        <w:rPr>
          <w:sz w:val="20"/>
          <w:szCs w:val="20"/>
          <w:color w:val="auto"/>
        </w:rPr>
      </w:pPr>
    </w:p>
    <w:p>
      <w:pPr>
        <w:jc w:val="both"/>
        <w:ind w:left="1300" w:hanging="644"/>
        <w:spacing w:after="0" w:line="258" w:lineRule="auto"/>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23.2 (</w:t>
      </w:r>
      <w:r>
        <w:rPr>
          <w:rFonts w:ascii="Times New Roman" w:cs="Times New Roman" w:eastAsia="Times New Roman" w:hAnsi="Times New Roman"/>
          <w:sz w:val="18"/>
          <w:szCs w:val="18"/>
          <w:i w:val="1"/>
          <w:iCs w:val="1"/>
          <w:color w:val="auto"/>
        </w:rPr>
        <w:t>Company consent</w:t>
      </w:r>
      <w:r>
        <w:rPr>
          <w:rFonts w:ascii="Times New Roman" w:cs="Times New Roman" w:eastAsia="Times New Roman" w:hAnsi="Times New Roman"/>
          <w:sz w:val="18"/>
          <w:szCs w:val="18"/>
          <w:color w:val="auto"/>
        </w:rPr>
        <w:t>) and Clause 23.3 (</w:t>
      </w:r>
      <w:r>
        <w:rPr>
          <w:rFonts w:ascii="Times New Roman" w:cs="Times New Roman" w:eastAsia="Times New Roman" w:hAnsi="Times New Roman"/>
          <w:sz w:val="18"/>
          <w:szCs w:val="18"/>
          <w:i w:val="1"/>
          <w:iCs w:val="1"/>
          <w:color w:val="auto"/>
        </w:rPr>
        <w:t>Other conditions of assignment, transfer or sub-participation</w:t>
      </w:r>
      <w:r>
        <w:rPr>
          <w:rFonts w:ascii="Times New Roman" w:cs="Times New Roman" w:eastAsia="Times New Roman" w:hAnsi="Times New Roman"/>
          <w:sz w:val="18"/>
          <w:szCs w:val="18"/>
          <w:color w:val="auto"/>
        </w:rPr>
        <w:t>) an assignment may be effected in accordance with paragraph (c) below when the Agent executes an otherwise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23.10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on the Transfer Date:</w:t>
      </w:r>
    </w:p>
    <w:p>
      <w:pPr>
        <w:spacing w:after="0" w:line="227"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the rights under the Finance Documents expressed to be the subject of the assignment in the Assignment Agreement;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be released by each Obligor and the other Finance Parties from the obligations owed by it (the “</w:t>
      </w:r>
      <w:r>
        <w:rPr>
          <w:rFonts w:ascii="Times New Roman" w:cs="Times New Roman" w:eastAsia="Times New Roman" w:hAnsi="Times New Roman"/>
          <w:sz w:val="18"/>
          <w:szCs w:val="18"/>
          <w:b w:val="1"/>
          <w:bCs w:val="1"/>
          <w:color w:val="auto"/>
        </w:rPr>
        <w:t>Relevant Obligations</w:t>
      </w:r>
      <w:r>
        <w:rPr>
          <w:rFonts w:ascii="Times New Roman" w:cs="Times New Roman" w:eastAsia="Times New Roman" w:hAnsi="Times New Roman"/>
          <w:sz w:val="18"/>
          <w:szCs w:val="18"/>
          <w:color w:val="auto"/>
        </w:rPr>
        <w:t>”) and expressed to be the subject of the release in the Assignment Agreement;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will be bound by obligations equivalent to the Relevant Obligations.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may utilise procedures other than those set out in this Clause 23.7 to assign their rights under the Finance Documents (but not, without the consent of the relevant Obligor or unless in accordance with Clause 23.6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xml:space="preserve">), to obtain a release by that Obligor from the obligations owed to that Obligor by the Lenders nor the assumption of equivalent obligations by a New Lender) </w:t>
      </w:r>
      <w:r>
        <w:rPr>
          <w:rFonts w:ascii="Times New Roman" w:cs="Times New Roman" w:eastAsia="Times New Roman" w:hAnsi="Times New Roman"/>
          <w:sz w:val="18"/>
          <w:szCs w:val="18"/>
          <w:b w:val="1"/>
          <w:bCs w:val="1"/>
          <w:color w:val="auto"/>
        </w:rPr>
        <w:t xml:space="preserve">provided that </w:t>
      </w:r>
      <w:r>
        <w:rPr>
          <w:rFonts w:ascii="Times New Roman" w:cs="Times New Roman" w:eastAsia="Times New Roman" w:hAnsi="Times New Roman"/>
          <w:sz w:val="18"/>
          <w:szCs w:val="18"/>
          <w:color w:val="auto"/>
        </w:rPr>
        <w:t>they comply with the conditions set out in Clause 23.2 (</w:t>
      </w:r>
      <w:r>
        <w:rPr>
          <w:rFonts w:ascii="Times New Roman" w:cs="Times New Roman" w:eastAsia="Times New Roman" w:hAnsi="Times New Roman"/>
          <w:sz w:val="18"/>
          <w:szCs w:val="18"/>
          <w:i w:val="1"/>
          <w:iCs w:val="1"/>
          <w:color w:val="auto"/>
        </w:rPr>
        <w:t>Company consent</w:t>
      </w:r>
      <w:r>
        <w:rPr>
          <w:rFonts w:ascii="Times New Roman" w:cs="Times New Roman" w:eastAsia="Times New Roman" w:hAnsi="Times New Roman"/>
          <w:sz w:val="18"/>
          <w:szCs w:val="18"/>
          <w:color w:val="auto"/>
        </w:rPr>
        <w:t>) and Clause 23.3 (</w:t>
      </w:r>
      <w:r>
        <w:rPr>
          <w:rFonts w:ascii="Times New Roman" w:cs="Times New Roman" w:eastAsia="Times New Roman" w:hAnsi="Times New Roman"/>
          <w:sz w:val="18"/>
          <w:szCs w:val="18"/>
          <w:i w:val="1"/>
          <w:iCs w:val="1"/>
          <w:color w:val="auto"/>
        </w:rPr>
        <w:t>Other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assignment, transfer or sub-participation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b w:val="1"/>
          <w:bCs w:val="1"/>
          <w:color w:val="auto"/>
        </w:rPr>
        <w:t>Copy of Transfer Certificate, Assignment Agreement or Increase Confirmation to Company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Agent shall, as soon as reasonably practicable after it has executed a Transfer Certificate, an Assignment Agreement or an Increase Confirmation, send to the Company a copy of that Transfer Certificate, Assignment Agreement or Increase Confirmation.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1" w:name="page292"/>
    <w:bookmarkEnd w:id="291"/>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b w:val="1"/>
          <w:bCs w:val="1"/>
          <w:color w:val="auto"/>
        </w:rPr>
        <w:t>Security over Lenders’ rights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23,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176" w:lineRule="exact"/>
        <w:rPr>
          <w:sz w:val="20"/>
          <w:szCs w:val="20"/>
          <w:color w:val="auto"/>
        </w:rPr>
      </w:pPr>
    </w:p>
    <w:p>
      <w:pPr>
        <w:ind w:left="1960" w:hanging="656"/>
        <w:spacing w:after="0"/>
        <w:tabs>
          <w:tab w:leader="none" w:pos="19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225" w:lineRule="exact"/>
        <w:rPr>
          <w:sz w:val="20"/>
          <w:szCs w:val="20"/>
          <w:color w:val="auto"/>
        </w:rPr>
      </w:pPr>
    </w:p>
    <w:p>
      <w:pPr>
        <w:ind w:left="1960" w:hanging="656"/>
        <w:spacing w:after="0" w:line="282" w:lineRule="auto"/>
        <w:tabs>
          <w:tab w:leader="none" w:pos="19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b w:val="1"/>
          <w:bCs w:val="1"/>
          <w:color w:val="auto"/>
        </w:rPr>
        <w:t>Pro rata interest settlement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able to distribute interest payments on a “pro rata basis” to Existing Lenders and New Lenders then (in respect of any transfer pursuant to Clause 23.6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or any assignment pursuant to Clause 23.7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the Transfer Date of which, in each case, is after the date of such notification and is not on the last day of an Interest Period):</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8"/>
          <w:szCs w:val="18"/>
          <w:b w:val="1"/>
          <w:bCs w:val="1"/>
          <w:color w:val="auto"/>
        </w:rPr>
        <w:t>Accrued Amounts</w:t>
      </w:r>
      <w:r>
        <w:rPr>
          <w:rFonts w:ascii="Times New Roman" w:cs="Times New Roman" w:eastAsia="Times New Roman" w:hAnsi="Times New Roman"/>
          <w:sz w:val="18"/>
          <w:szCs w:val="18"/>
          <w:color w:val="auto"/>
        </w:rPr>
        <w:t>”) and shall become due and payable to the Existing Lender (without further interest accruing on them) on the last day of the current Interest Period; and</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assigned or transferred by the Existing Lender will not include the right to the Accrued Amounts, so that, for the avoidance of doubt:</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Accrued Amounts become payable, those Accrued Amounts will be payable to the Existing Lender; and</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to the New Lender on that date will be the amount which would, but for the application of this Clause 23.10, have been payable to it on that date, but after deduction of the Accrued Amounts.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23.10 references to “Interest Period” shall be construed to include a reference to any other period for accrual of fees.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which retains the right to the Accrued Amounts pursuant to this Clause 23.10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2" w:name="page293"/>
    <w:bookmarkEnd w:id="29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8"/>
          <w:szCs w:val="18"/>
          <w:b w:val="1"/>
          <w:bCs w:val="1"/>
          <w:color w:val="auto"/>
        </w:rPr>
        <w:t>Register</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Agent, acting solely for this purpose as a non-fiduciary agent of the Borrower, shall maintain a copy of each assignment or transfer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3" w:lineRule="exact"/>
        <w:rPr>
          <w:sz w:val="20"/>
          <w:szCs w:val="20"/>
          <w:color w:val="auto"/>
        </w:rPr>
      </w:pPr>
    </w:p>
    <w:p>
      <w:pPr>
        <w:ind w:left="660" w:hanging="652"/>
        <w:spacing w:after="0"/>
        <w:tabs>
          <w:tab w:leader="none" w:pos="6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OBLIGORS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b w:val="1"/>
          <w:bCs w:val="1"/>
          <w:color w:val="auto"/>
        </w:rPr>
        <w:t>Assignments and transfer by Obligors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Obligor may assign any of its rights or transfer any of its rights or obligations under the Finance Documents.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b w:val="1"/>
          <w:bCs w:val="1"/>
          <w:color w:val="auto"/>
        </w:rPr>
        <w:t>Additional Borrowers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provisions of paragraphs (c) and (d) of Clause 19.7 (</w:t>
      </w:r>
      <w:r>
        <w:rPr>
          <w:rFonts w:ascii="Times New Roman" w:cs="Times New Roman" w:eastAsia="Times New Roman" w:hAnsi="Times New Roman"/>
          <w:sz w:val="18"/>
          <w:szCs w:val="18"/>
          <w:i w:val="1"/>
          <w:iCs w:val="1"/>
          <w:color w:val="auto"/>
        </w:rPr>
        <w:t>“Know your customer” checks</w:t>
      </w:r>
      <w:r>
        <w:rPr>
          <w:rFonts w:ascii="Times New Roman" w:cs="Times New Roman" w:eastAsia="Times New Roman" w:hAnsi="Times New Roman"/>
          <w:sz w:val="18"/>
          <w:szCs w:val="18"/>
          <w:color w:val="auto"/>
        </w:rPr>
        <w:t>), the Company may request that any of its wholly owned Subsidiaries becomes an Additional Borrower. That Subsidiary shall become an Additional Borrower if:</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Subsidiary is incorporated in the British Virgin Islands, Israel or the United Kingdom or all the Lenders approve the addition of that Additional Borrower;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Agent a duly completed and executed Accession Letter;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(or becomes) a Guarantor prior to becoming a Borrower;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confirms that no Default is continuing or would occur as a result of that Subsidiary becoming an Additional Borrower; and</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all of the documents and other evidence listed in Part II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relation to that Additional Borrower, each in form and substance satisfactory to the Agent.</w:t>
      </w:r>
    </w:p>
    <w:p>
      <w:pPr>
        <w:spacing w:after="0" w:line="16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Company and the Lenders promptly upon being satisfied that it has received (in form and substance satisfactory to it, acting reasonably) all the documents and other evidence listed in Part II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7"/>
          <w:szCs w:val="17"/>
          <w:b w:val="1"/>
          <w:bCs w:val="1"/>
          <w:color w:val="auto"/>
        </w:rPr>
        <w:t>Resignation of a Borrower</w:t>
      </w:r>
    </w:p>
    <w:p>
      <w:pPr>
        <w:spacing w:after="0" w:line="229" w:lineRule="exact"/>
        <w:rPr>
          <w:sz w:val="20"/>
          <w:szCs w:val="20"/>
          <w:color w:val="auto"/>
        </w:rPr>
      </w:pPr>
    </w:p>
    <w:p>
      <w:pPr>
        <w:ind w:left="1300" w:hanging="644"/>
        <w:spacing w:after="0" w:line="282" w:lineRule="auto"/>
        <w:tabs>
          <w:tab w:leader="none" w:pos="13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that a Borrower (other than the Company) ceases to be a Borrower by delivering to the Agent a Resignation Letter.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accept a Resignation Letter and notify the Company and the Lenders of its acceptance 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acceptance of the Resignation Letter (and the Company has confirmed this is the case);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under no actual or contingent obligations as a Borrower under any Finance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whereupon that company shall cease to be a Borrower and shall have no further rights or obligations as a Borrower under the Finance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3" w:name="page294"/>
    <w:bookmarkEnd w:id="29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7"/>
          <w:szCs w:val="17"/>
          <w:b w:val="1"/>
          <w:bCs w:val="1"/>
          <w:color w:val="auto"/>
        </w:rPr>
        <w:t>Additional Guarantors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provisions of paragraphs (c) and (d) of Clause 19.7 (</w:t>
      </w:r>
      <w:r>
        <w:rPr>
          <w:rFonts w:ascii="Times New Roman" w:cs="Times New Roman" w:eastAsia="Times New Roman" w:hAnsi="Times New Roman"/>
          <w:sz w:val="18"/>
          <w:szCs w:val="18"/>
          <w:i w:val="1"/>
          <w:iCs w:val="1"/>
          <w:color w:val="auto"/>
        </w:rPr>
        <w:t>“Know your customer” checks</w:t>
      </w:r>
      <w:r>
        <w:rPr>
          <w:rFonts w:ascii="Times New Roman" w:cs="Times New Roman" w:eastAsia="Times New Roman" w:hAnsi="Times New Roman"/>
          <w:sz w:val="18"/>
          <w:szCs w:val="18"/>
          <w:color w:val="auto"/>
        </w:rPr>
        <w:t>), the Company may request that any of its wholly owned Subsidiaries becomes an Additional Guarantor. That Subsidiary shall become an Additional Guarantor if:</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Agent a duly completed and executed Accession Letter; and</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all of the documents and other evidence listed in Part II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relation to that Additional Guarantor, each in form and substance satisfactory to the Agent.</w:t>
      </w:r>
    </w:p>
    <w:p>
      <w:pPr>
        <w:spacing w:after="0" w:line="16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Company and the Lenders promptly upon being satisfied that it has received (in form and substance satisfactory to it, acting reasonably) all the documents and other evidence listed in Part II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b w:val="1"/>
          <w:bCs w:val="1"/>
          <w:color w:val="auto"/>
        </w:rPr>
        <w:t>Repetition of Representations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Delivery of an Accession Letter constitutes confirmation by the relevant Subsidiary that the Repeating Representations and each of the representations set out in Clauses 18.5 (</w:t>
      </w:r>
      <w:r>
        <w:rPr>
          <w:rFonts w:ascii="Times New Roman" w:cs="Times New Roman" w:eastAsia="Times New Roman" w:hAnsi="Times New Roman"/>
          <w:sz w:val="18"/>
          <w:szCs w:val="18"/>
          <w:i w:val="1"/>
          <w:iCs w:val="1"/>
          <w:color w:val="auto"/>
        </w:rPr>
        <w:t>Validity and admissibility in evidence</w:t>
      </w:r>
      <w:r>
        <w:rPr>
          <w:rFonts w:ascii="Times New Roman" w:cs="Times New Roman" w:eastAsia="Times New Roman" w:hAnsi="Times New Roman"/>
          <w:sz w:val="18"/>
          <w:szCs w:val="18"/>
          <w:color w:val="auto"/>
        </w:rPr>
        <w:t>), 18.7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18.8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18.9 (</w:t>
      </w:r>
      <w:r>
        <w:rPr>
          <w:rFonts w:ascii="Times New Roman" w:cs="Times New Roman" w:eastAsia="Times New Roman" w:hAnsi="Times New Roman"/>
          <w:sz w:val="18"/>
          <w:szCs w:val="18"/>
          <w:i w:val="1"/>
          <w:iCs w:val="1"/>
          <w:color w:val="auto"/>
        </w:rPr>
        <w:t>No filing or stamp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18.15 (</w:t>
      </w:r>
      <w:r>
        <w:rPr>
          <w:rFonts w:ascii="Times New Roman" w:cs="Times New Roman" w:eastAsia="Times New Roman" w:hAnsi="Times New Roman"/>
          <w:sz w:val="18"/>
          <w:szCs w:val="18"/>
          <w:i w:val="1"/>
          <w:iCs w:val="1"/>
          <w:color w:val="auto"/>
        </w:rPr>
        <w:t>No breach of laws</w:t>
      </w:r>
      <w:r>
        <w:rPr>
          <w:rFonts w:ascii="Times New Roman" w:cs="Times New Roman" w:eastAsia="Times New Roman" w:hAnsi="Times New Roman"/>
          <w:sz w:val="18"/>
          <w:szCs w:val="18"/>
          <w:color w:val="auto"/>
        </w:rPr>
        <w:t>) to 18.17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18.19 (</w:t>
      </w:r>
      <w:r>
        <w:rPr>
          <w:rFonts w:ascii="Times New Roman" w:cs="Times New Roman" w:eastAsia="Times New Roman" w:hAnsi="Times New Roman"/>
          <w:sz w:val="18"/>
          <w:szCs w:val="18"/>
          <w:i w:val="1"/>
          <w:iCs w:val="1"/>
          <w:color w:val="auto"/>
        </w:rPr>
        <w:t>Security and Financial Indebtedness</w:t>
      </w:r>
      <w:r>
        <w:rPr>
          <w:rFonts w:ascii="Times New Roman" w:cs="Times New Roman" w:eastAsia="Times New Roman" w:hAnsi="Times New Roman"/>
          <w:sz w:val="18"/>
          <w:szCs w:val="18"/>
          <w:color w:val="auto"/>
        </w:rPr>
        <w:t>), 18.20 (</w:t>
      </w:r>
      <w:r>
        <w:rPr>
          <w:rFonts w:ascii="Times New Roman" w:cs="Times New Roman" w:eastAsia="Times New Roman" w:hAnsi="Times New Roman"/>
          <w:sz w:val="18"/>
          <w:szCs w:val="18"/>
          <w:i w:val="1"/>
          <w:iCs w:val="1"/>
          <w:color w:val="auto"/>
        </w:rPr>
        <w:t>Good title to assets</w:t>
      </w:r>
      <w:r>
        <w:rPr>
          <w:rFonts w:ascii="Times New Roman" w:cs="Times New Roman" w:eastAsia="Times New Roman" w:hAnsi="Times New Roman"/>
          <w:sz w:val="18"/>
          <w:szCs w:val="18"/>
          <w:color w:val="auto"/>
        </w:rPr>
        <w:t>) and 18.22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respect of that Subsidiary only are true and correct in relation to it as at the date of delivery as if made by reference to the facts and circumstances then existing.</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8"/>
          <w:szCs w:val="18"/>
          <w:b w:val="1"/>
          <w:bCs w:val="1"/>
          <w:color w:val="auto"/>
        </w:rPr>
        <w:t>Resignation of a Guarantor</w:t>
      </w:r>
    </w:p>
    <w:p>
      <w:pPr>
        <w:spacing w:after="0" w:line="229" w:lineRule="exact"/>
        <w:rPr>
          <w:sz w:val="20"/>
          <w:szCs w:val="20"/>
          <w:color w:val="auto"/>
        </w:rPr>
      </w:pPr>
    </w:p>
    <w:p>
      <w:pPr>
        <w:ind w:left="1300" w:hanging="644"/>
        <w:spacing w:after="0" w:line="282" w:lineRule="auto"/>
        <w:tabs>
          <w:tab w:leader="none" w:pos="13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that a Guarantor (other than an Original Guarantor) ceases to be a Guarantor by delivering to the Agent a Resignation Letter.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accept a Resignation Letter and notify the Company and the Lenders of its acceptance if:</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acceptance of the Resignation Letter (and the Company has confirmed this is the case);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Lenders have consented to the Company’s request.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FINANCE PARTIES</w:t>
      </w:r>
    </w:p>
    <w:p>
      <w:pPr>
        <w:spacing w:after="0" w:line="225" w:lineRule="exact"/>
        <w:rPr>
          <w:sz w:val="20"/>
          <w:szCs w:val="20"/>
          <w:color w:val="auto"/>
        </w:rPr>
      </w:pPr>
    </w:p>
    <w:p>
      <w:pPr>
        <w:ind w:left="660" w:hanging="652"/>
        <w:spacing w:after="0"/>
        <w:tabs>
          <w:tab w:leader="none" w:pos="6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ROLE OF THE AGENT AND THE ARRANGER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b w:val="1"/>
          <w:bCs w:val="1"/>
          <w:color w:val="auto"/>
        </w:rPr>
        <w:t>Appointment of the Agent</w:t>
      </w:r>
    </w:p>
    <w:p>
      <w:pPr>
        <w:spacing w:after="0" w:line="229" w:lineRule="exact"/>
        <w:rPr>
          <w:sz w:val="20"/>
          <w:szCs w:val="20"/>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Arranger and the Lenders appoints the Agent to act as its agent under and in connection with the Finance Documents.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Arranger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b w:val="1"/>
          <w:bCs w:val="1"/>
          <w:color w:val="auto"/>
        </w:rPr>
        <w:t>Instructions</w:t>
      </w:r>
    </w:p>
    <w:p>
      <w:pPr>
        <w:spacing w:after="0" w:line="229" w:lineRule="exact"/>
        <w:rPr>
          <w:sz w:val="20"/>
          <w:szCs w:val="20"/>
          <w:color w:val="auto"/>
        </w:rPr>
      </w:pPr>
    </w:p>
    <w:p>
      <w:pPr>
        <w:ind w:left="1300" w:hanging="644"/>
        <w:spacing w:after="0"/>
        <w:tabs>
          <w:tab w:leader="none" w:pos="130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if the relevant Finance Document stipulates the matter is an all Lender decision;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Majority Lenders; and</w:t>
      </w:r>
    </w:p>
    <w:p>
      <w:pPr>
        <w:spacing w:after="0" w:line="225" w:lineRule="exact"/>
        <w:rPr>
          <w:sz w:val="20"/>
          <w:szCs w:val="20"/>
          <w:color w:val="auto"/>
        </w:rPr>
      </w:pPr>
    </w:p>
    <w:p>
      <w:pPr>
        <w:ind w:left="1300" w:hanging="644"/>
        <w:spacing w:after="0"/>
        <w:tabs>
          <w:tab w:leader="none" w:pos="13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acting) in accordance with paragraph (i) above.</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instructions, the Agent may act (or refrain from acting) as it considers to be in the best interest of the Lenders.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authorised to act on behalf of a Lender (without first obtaining that Lender’s consent) in any legal or arbitration proceedings relating to any Finance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5" w:name="page296"/>
    <w:bookmarkEnd w:id="29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b w:val="1"/>
          <w:bCs w:val="1"/>
          <w:color w:val="auto"/>
        </w:rPr>
        <w:t>Duties of the Agent</w:t>
      </w:r>
    </w:p>
    <w:p>
      <w:pPr>
        <w:spacing w:after="0" w:line="229" w:lineRule="exact"/>
        <w:rPr>
          <w:sz w:val="20"/>
          <w:szCs w:val="20"/>
          <w:color w:val="auto"/>
        </w:rPr>
      </w:pPr>
    </w:p>
    <w:p>
      <w:pPr>
        <w:ind w:left="1300" w:hanging="644"/>
        <w:spacing w:after="0"/>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duties under the Finance Documents are solely mechanical and administrative in nature.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the Agent shall promptly forward to a Party the original or a copy of any document which is delivered to the Agent for that Party by any other Party.</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Clause 23.8 (</w:t>
      </w:r>
      <w:r>
        <w:rPr>
          <w:rFonts w:ascii="Times New Roman" w:cs="Times New Roman" w:eastAsia="Times New Roman" w:hAnsi="Times New Roman"/>
          <w:sz w:val="17"/>
          <w:szCs w:val="17"/>
          <w:i w:val="1"/>
          <w:iCs w:val="1"/>
          <w:color w:val="auto"/>
        </w:rPr>
        <w:t>Copy of Transfer Certificate, Assignment Agreement or Increase Confirmation to Company</w:t>
      </w:r>
      <w:r>
        <w:rPr>
          <w:rFonts w:ascii="Times New Roman" w:cs="Times New Roman" w:eastAsia="Times New Roman" w:hAnsi="Times New Roman"/>
          <w:sz w:val="17"/>
          <w:szCs w:val="17"/>
          <w:color w:val="auto"/>
        </w:rPr>
        <w:t>), paragraph</w:t>
      </w:r>
    </w:p>
    <w:p>
      <w:pPr>
        <w:spacing w:after="0" w:line="40"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above shall not apply to any Transfer Certificate, any Assignment Agreement or any Increase Confirmation.</w:t>
      </w:r>
    </w:p>
    <w:p>
      <w:pPr>
        <w:spacing w:after="0" w:line="206" w:lineRule="exact"/>
        <w:rPr>
          <w:rFonts w:ascii="Times New Roman" w:cs="Times New Roman" w:eastAsia="Times New Roman" w:hAnsi="Times New Roman"/>
          <w:sz w:val="17"/>
          <w:szCs w:val="17"/>
          <w:color w:val="auto"/>
        </w:rPr>
      </w:pPr>
    </w:p>
    <w:p>
      <w:pPr>
        <w:ind w:left="130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another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or the Arranger) under this Agreement, it shall promptly notify the other Finance Parties.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to the Company, within 10 Business Days of a request by the Company (but no more frequently than once per calendar month), a list (which may be in electronic form) setting out the names of the Lenders as at that Business Day,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transmission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only those duties, obligations and responsibilities expressly specified in the Finance Documents to which it is expressed to be a party (and no others shall be implied).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7"/>
          <w:szCs w:val="17"/>
          <w:b w:val="1"/>
          <w:bCs w:val="1"/>
          <w:color w:val="auto"/>
        </w:rPr>
        <w:t>Role of the Arranger</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in the Finance Documents, the Arranger has no obligations of any kind to any other Party under or in connection with any Finance Document.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229" w:lineRule="exact"/>
        <w:rPr>
          <w:sz w:val="20"/>
          <w:szCs w:val="20"/>
          <w:color w:val="auto"/>
        </w:rPr>
      </w:pPr>
    </w:p>
    <w:p>
      <w:pPr>
        <w:ind w:left="1300" w:hanging="644"/>
        <w:spacing w:after="0"/>
        <w:tabs>
          <w:tab w:leader="none" w:pos="13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 the Agent or the Arranger as a trustee or fiduciary of any other person.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Arranger shall be bound to account to any Lender for any sum or the profit element of any sum received by it for its own account.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6" w:name="page297"/>
    <w:bookmarkEnd w:id="29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25.6</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Agent and the Arranger may accept deposits from, lend money to and generally engage in any kind of banking or other business with any member of the Group.</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229" w:lineRule="exact"/>
        <w:rPr>
          <w:sz w:val="20"/>
          <w:szCs w:val="20"/>
          <w:color w:val="auto"/>
        </w:rPr>
      </w:pPr>
    </w:p>
    <w:p>
      <w:pPr>
        <w:ind w:left="1300" w:hanging="644"/>
        <w:spacing w:after="0"/>
        <w:tabs>
          <w:tab w:leader="none" w:pos="13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Lenders or any group of Lenders are duly given in accordance with the terms of the Finance Documents;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w:t>
      </w:r>
    </w:p>
    <w:p>
      <w:pPr>
        <w:spacing w:after="0" w:line="225" w:lineRule="exact"/>
        <w:rPr>
          <w:sz w:val="20"/>
          <w:szCs w:val="20"/>
          <w:color w:val="auto"/>
        </w:rPr>
      </w:pPr>
    </w:p>
    <w:p>
      <w:pPr>
        <w:ind w:left="1300" w:hanging="644"/>
        <w:spacing w:after="0"/>
        <w:tabs>
          <w:tab w:leader="none" w:pos="13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Lenders) that: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22.1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any group of Lenders has not been exercised;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Company (other than a Utilisation Request) is made on behalf of and with the consent and knowledge of all the Obligors.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and pay for the advice or services of any lawyers, accountants, tax advisers, surveyors or other professional advisers or experts.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7" w:name="page298"/>
    <w:bookmarkEnd w:id="297"/>
    <w:p>
      <w:pPr>
        <w:ind w:left="1300" w:hanging="644"/>
        <w:spacing w:after="0"/>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(g) above, the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disclose;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written request of the Company or the Majority Lenders shall, as soon as reasonably practicable, disclose,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identity of a Defaulting Lender to the Company and to the other Finance Parties.</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neither the Agent nor the Arranger is obliged to do or omit to do anything if it would, or might in its reasonable opinion, constitute a breach of any law or regulation or a breach of a fiduciary duty or duty of confidentiality.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25.8</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Agent nor the Arranger is responsible or liable for:</w:t>
      </w:r>
    </w:p>
    <w:p>
      <w:pPr>
        <w:spacing w:after="0" w:line="225" w:lineRule="exact"/>
        <w:rPr>
          <w:sz w:val="20"/>
          <w:szCs w:val="20"/>
          <w:color w:val="auto"/>
        </w:rPr>
      </w:pPr>
    </w:p>
    <w:p>
      <w:pPr>
        <w:jc w:val="both"/>
        <w:ind w:left="1960" w:hanging="656"/>
        <w:spacing w:after="0" w:line="261" w:lineRule="auto"/>
        <w:tabs>
          <w:tab w:leader="none" w:pos="196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the Agent, the Arranger,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25.9</w:t>
      </w:r>
      <w:r>
        <w:rPr>
          <w:sz w:val="20"/>
          <w:szCs w:val="20"/>
          <w:color w:val="auto"/>
        </w:rPr>
        <w:tab/>
      </w:r>
      <w:r>
        <w:rPr>
          <w:rFonts w:ascii="Times New Roman" w:cs="Times New Roman" w:eastAsia="Times New Roman" w:hAnsi="Times New Roman"/>
          <w:sz w:val="18"/>
          <w:szCs w:val="18"/>
          <w:b w:val="1"/>
          <w:bCs w:val="1"/>
          <w:color w:val="auto"/>
        </w:rPr>
        <w:t>No duty to monitor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Agent shall not be bound to enquire:</w:t>
      </w:r>
    </w:p>
    <w:p>
      <w:pPr>
        <w:spacing w:after="0" w:line="225" w:lineRule="exact"/>
        <w:rPr>
          <w:sz w:val="20"/>
          <w:szCs w:val="20"/>
          <w:color w:val="auto"/>
        </w:rPr>
      </w:pPr>
    </w:p>
    <w:p>
      <w:pPr>
        <w:ind w:left="1960" w:hanging="656"/>
        <w:spacing w:after="0"/>
        <w:tabs>
          <w:tab w:leader="none" w:pos="19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25.10</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229" w:lineRule="exact"/>
        <w:rPr>
          <w:sz w:val="20"/>
          <w:szCs w:val="20"/>
          <w:color w:val="auto"/>
        </w:rPr>
      </w:pPr>
    </w:p>
    <w:p>
      <w:pPr>
        <w:ind w:left="1300" w:hanging="644"/>
        <w:spacing w:after="0" w:line="282" w:lineRule="auto"/>
        <w:tabs>
          <w:tab w:leader="none" w:pos="130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any other provision of any Finance Document excluding or limiting the liability of the Agent), the Agent will not be liable for: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83" w:lineRule="exact"/>
        <w:rPr>
          <w:sz w:val="20"/>
          <w:szCs w:val="20"/>
          <w:color w:val="auto"/>
        </w:rPr>
      </w:pPr>
    </w:p>
    <w:p>
      <w:pPr>
        <w:jc w:val="both"/>
        <w:ind w:left="1300" w:hanging="644"/>
        <w:spacing w:after="0" w:line="261" w:lineRule="auto"/>
        <w:tabs>
          <w:tab w:leader="none" w:pos="13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9" w:name="page300"/>
    <w:bookmarkEnd w:id="299"/>
    <w:p>
      <w:pPr>
        <w:ind w:left="1300" w:hanging="644"/>
        <w:spacing w:after="0"/>
        <w:tabs>
          <w:tab w:leader="none" w:pos="130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or the Arranger to carry out: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or other checks in relation to any person;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check on the extent to which any transaction contemplated by this Agreement might be unlawful for any Lender or for any Affiliate of any Lender,</w:t>
      </w:r>
    </w:p>
    <w:p>
      <w:pPr>
        <w:spacing w:after="0" w:line="162"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on behalf of any Lender and each Lender confirms to the Agent and the Arranger that it is solely responsible for any such checks it is required to carry out and that it may not rely on any statement in relation to such checks made by the Agent or the Arranger.</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25.11</w:t>
      </w:r>
      <w:r>
        <w:rPr>
          <w:sz w:val="20"/>
          <w:szCs w:val="20"/>
          <w:color w:val="auto"/>
        </w:rPr>
        <w:tab/>
      </w:r>
      <w:r>
        <w:rPr>
          <w:rFonts w:ascii="Times New Roman" w:cs="Times New Roman" w:eastAsia="Times New Roman" w:hAnsi="Times New Roman"/>
          <w:sz w:val="17"/>
          <w:szCs w:val="17"/>
          <w:b w:val="1"/>
          <w:bCs w:val="1"/>
          <w:color w:val="auto"/>
        </w:rPr>
        <w:t>Lenders’ indemnity to the Agent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28.11 (</w:t>
      </w:r>
      <w:r>
        <w:rPr>
          <w:rFonts w:ascii="Times New Roman" w:cs="Times New Roman" w:eastAsia="Times New Roman" w:hAnsi="Times New Roman"/>
          <w:sz w:val="18"/>
          <w:szCs w:val="18"/>
          <w:i w:val="1"/>
          <w:iCs w:val="1"/>
          <w:color w:val="auto"/>
        </w:rPr>
        <w:t>Disruption to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 any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fraud of the Agent) in acting as Agent under the Finance Documents (unless the Agent has been reimbursed by an Obligor pursuant to a Finance Document).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25.12</w:t>
      </w:r>
      <w:r>
        <w:rPr>
          <w:sz w:val="20"/>
          <w:szCs w:val="20"/>
          <w:color w:val="auto"/>
        </w:rPr>
        <w:tab/>
      </w:r>
      <w:r>
        <w:rPr>
          <w:rFonts w:ascii="Times New Roman" w:cs="Times New Roman" w:eastAsia="Times New Roman" w:hAnsi="Times New Roman"/>
          <w:sz w:val="18"/>
          <w:szCs w:val="18"/>
          <w:b w:val="1"/>
          <w:bCs w:val="1"/>
          <w:color w:val="auto"/>
        </w:rPr>
        <w:t>Resignation of the Agent</w:t>
      </w:r>
    </w:p>
    <w:p>
      <w:pPr>
        <w:spacing w:after="0" w:line="229" w:lineRule="exact"/>
        <w:rPr>
          <w:sz w:val="20"/>
          <w:szCs w:val="20"/>
          <w:color w:val="auto"/>
        </w:rPr>
      </w:pPr>
    </w:p>
    <w:p>
      <w:pPr>
        <w:ind w:left="1300" w:hanging="644"/>
        <w:spacing w:after="0" w:line="282"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and appoint one of its Affiliates acting through an office in the same jurisdiction as its existing office as successor by giving notice to the Lenders and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may resign by giving 30 days’ notice to the Lenders and the Company, in which case the Majority Lenders (after consultation with the Company) may appoint a successor Agent.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in accordance with paragraph (b) above within 20 days after notice of resignation was given, the retiring Agent (after consultation with the Company) may appoint a successor Agent (acting through an office in the same jurisdiction as the retiring Agent).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25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ind w:left="1300" w:hanging="644"/>
        <w:spacing w:after="0" w:line="282" w:lineRule="auto"/>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resignation notice shall only take effect upon the appointment of a successor.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14.3 (</w:t>
      </w:r>
      <w:r>
        <w:rPr>
          <w:rFonts w:ascii="Times New Roman" w:cs="Times New Roman" w:eastAsia="Times New Roman" w:hAnsi="Times New Roman"/>
          <w:sz w:val="18"/>
          <w:szCs w:val="18"/>
          <w:i w:val="1"/>
          <w:iCs w:val="1"/>
          <w:color w:val="auto"/>
        </w:rPr>
        <w:t>Indemnity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and this Clause 25 (and any agency fees for the account of the retiring Agent shall cease to accrue from (and shall be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date). Its successor and each of the other Parties shall have the same rights and obligations amongst themselves as they would have had if such successor had been an original Party.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fails to respond to a request under Clause 12.7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and a Lender reasonably believes that the Agent will not be (or will have ceased to be) a FATCA Exempt Party on or after that FATCA Application Date;</w:t>
      </w:r>
    </w:p>
    <w:p>
      <w:pPr>
        <w:spacing w:after="0" w:line="158" w:lineRule="exact"/>
        <w:rPr>
          <w:sz w:val="20"/>
          <w:szCs w:val="20"/>
          <w:color w:val="auto"/>
        </w:rPr>
      </w:pPr>
    </w:p>
    <w:p>
      <w:pPr>
        <w:ind w:left="1300" w:hanging="644"/>
        <w:spacing w:after="0" w:line="284" w:lineRule="auto"/>
        <w:tabs>
          <w:tab w:leader="none" w:pos="13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12.7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16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Company and the Lenders that the Agent will not be (or will have ceased to be) a FATCA Exempt Party on or after that FATCA Application Date,</w:t>
      </w:r>
    </w:p>
    <w:p>
      <w:pPr>
        <w:spacing w:after="0" w:line="161" w:lineRule="exact"/>
        <w:rPr>
          <w:rFonts w:ascii="Times New Roman" w:cs="Times New Roman" w:eastAsia="Times New Roman" w:hAnsi="Times New Roman"/>
          <w:sz w:val="18"/>
          <w:szCs w:val="18"/>
          <w:color w:val="auto"/>
        </w:rPr>
      </w:pPr>
    </w:p>
    <w:p>
      <w:pPr>
        <w:ind w:left="1300" w:hanging="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25.13</w:t>
      </w:r>
      <w:r>
        <w:rPr>
          <w:sz w:val="20"/>
          <w:szCs w:val="20"/>
          <w:color w:val="auto"/>
        </w:rPr>
        <w:tab/>
      </w:r>
      <w:r>
        <w:rPr>
          <w:rFonts w:ascii="Times New Roman" w:cs="Times New Roman" w:eastAsia="Times New Roman" w:hAnsi="Times New Roman"/>
          <w:sz w:val="17"/>
          <w:szCs w:val="17"/>
          <w:b w:val="1"/>
          <w:bCs w:val="1"/>
          <w:color w:val="auto"/>
        </w:rPr>
        <w:t>Replacement of the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Company, the Majority Lenders may, by giving 30 days’ notice to the Agent (or, at any time the Agent is an Impaired Agent, by giving any shorter notice determined by the Majority Lenders) replace the Agent by appointing a successor Agent (acting through an office in the same jurisdiction as the retiring Agent) that is an Original Lender or an Affiliate of an Original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left="1300" w:hanging="644"/>
        <w:spacing w:after="0" w:line="261" w:lineRule="auto"/>
        <w:tabs>
          <w:tab w:leader="none" w:pos="130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Majority Lenders may, with the consent of the Company, by giving 30 days’ notice to the Agent (or, at any time the Agent is an Impaired Agent, by giving any shorter notice determined by the Majority Lenders) replace the Agent by appointing a successor Agent (acting through an office in the same jurisdiction as the retiring Agent) that is not an Original Lender or an Affiliate of an Original Lender,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the consent of the Company must not be unreasonably withheld or delayed to such replacement.</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14.3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and this Clause 25 (and any agency fees for the account of the retiring Agent shall cease to accrue from (and shall be payable on) that date).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amongst themselves as they would have had if such successor had been an original Party.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25.14</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ind w:left="1300" w:hanging="644"/>
        <w:spacing w:after="0" w:line="282"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25.15</w:t>
      </w:r>
      <w:r>
        <w:rPr>
          <w:sz w:val="20"/>
          <w:szCs w:val="20"/>
          <w:color w:val="auto"/>
        </w:rPr>
        <w:tab/>
      </w:r>
      <w:r>
        <w:rPr>
          <w:rFonts w:ascii="Times New Roman" w:cs="Times New Roman" w:eastAsia="Times New Roman" w:hAnsi="Times New Roman"/>
          <w:sz w:val="18"/>
          <w:szCs w:val="18"/>
          <w:b w:val="1"/>
          <w:bCs w:val="1"/>
          <w:color w:val="auto"/>
        </w:rPr>
        <w:t>Relationship with the Lenders</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23.10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175" w:lineRule="exact"/>
        <w:rPr>
          <w:sz w:val="20"/>
          <w:szCs w:val="20"/>
          <w:color w:val="auto"/>
        </w:rPr>
      </w:pPr>
    </w:p>
    <w:p>
      <w:pPr>
        <w:ind w:left="1300" w:hanging="644"/>
        <w:spacing w:after="0"/>
        <w:tabs>
          <w:tab w:leader="none" w:pos="13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Business Days’ prior notice from that Lender to the contrary in accordance with the terms of this Agreement.</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 of Clause 30.6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that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25.16</w:t>
      </w:r>
      <w:r>
        <w:rPr>
          <w:sz w:val="20"/>
          <w:szCs w:val="20"/>
          <w:color w:val="auto"/>
        </w:rPr>
        <w:tab/>
      </w:r>
      <w:r>
        <w:rPr>
          <w:rFonts w:ascii="Times New Roman" w:cs="Times New Roman" w:eastAsia="Times New Roman" w:hAnsi="Times New Roman"/>
          <w:sz w:val="17"/>
          <w:szCs w:val="17"/>
          <w:b w:val="1"/>
          <w:bCs w:val="1"/>
          <w:color w:val="auto"/>
        </w:rPr>
        <w:t>Credit appraisal by the Lenders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Without affecting the responsibility of any Obligor for information supplied by it or on its behalf in connection with any Finance Document, each Lender confirms to the Agent and the Arranger that it has been, and will continue to be, solely responsible for making its own independent appraisal and investigation of all risks arising under or in connection with any Finance Document including but not limited to:</w:t>
      </w:r>
    </w:p>
    <w:p>
      <w:pPr>
        <w:spacing w:after="0" w:line="176" w:lineRule="exact"/>
        <w:rPr>
          <w:sz w:val="20"/>
          <w:szCs w:val="20"/>
          <w:color w:val="auto"/>
        </w:rPr>
      </w:pPr>
    </w:p>
    <w:p>
      <w:pPr>
        <w:ind w:left="1300" w:hanging="644"/>
        <w:spacing w:after="0"/>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member of the Group;</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25.17</w:t>
      </w:r>
      <w:r>
        <w:rPr>
          <w:sz w:val="20"/>
          <w:szCs w:val="20"/>
          <w:color w:val="auto"/>
        </w:rPr>
        <w:tab/>
      </w:r>
      <w:r>
        <w:rPr>
          <w:rFonts w:ascii="Times New Roman" w:cs="Times New Roman" w:eastAsia="Times New Roman" w:hAnsi="Times New Roman"/>
          <w:sz w:val="17"/>
          <w:szCs w:val="17"/>
          <w:b w:val="1"/>
          <w:bCs w:val="1"/>
          <w:color w:val="auto"/>
        </w:rPr>
        <w:t>Agent’s management time</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Any amount payable to the Agent under Clause 14.3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and Clause 25.11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shall include the cost of utilising the Agent’s management time or other resources and will be calculated on the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reasonable daily or hourly rates as the Agent may notify to the Company and the Lenders, and is in addition to any fee paid or payable to the Agent under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25.18</w:t>
      </w:r>
      <w:r>
        <w:rPr>
          <w:sz w:val="20"/>
          <w:szCs w:val="20"/>
          <w:color w:val="auto"/>
        </w:rPr>
        <w:tab/>
      </w:r>
      <w:r>
        <w:rPr>
          <w:rFonts w:ascii="Times New Roman" w:cs="Times New Roman" w:eastAsia="Times New Roman" w:hAnsi="Times New Roman"/>
          <w:sz w:val="17"/>
          <w:szCs w:val="17"/>
          <w:b w:val="1"/>
          <w:bCs w:val="1"/>
          <w:color w:val="auto"/>
        </w:rPr>
        <w:t>Deduction from amounts payable by the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3" w:name="page304"/>
    <w:bookmarkEnd w:id="303"/>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25.19</w:t>
      </w:r>
      <w:r>
        <w:rPr>
          <w:sz w:val="20"/>
          <w:szCs w:val="20"/>
          <w:color w:val="auto"/>
        </w:rPr>
        <w:tab/>
      </w:r>
      <w:r>
        <w:rPr>
          <w:rFonts w:ascii="Times New Roman" w:cs="Times New Roman" w:eastAsia="Times New Roman" w:hAnsi="Times New Roman"/>
          <w:sz w:val="17"/>
          <w:szCs w:val="17"/>
          <w:b w:val="1"/>
          <w:bCs w:val="1"/>
          <w:color w:val="auto"/>
        </w:rPr>
        <w:t>Amounts paid in error</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pays an amount to another Party and within 10 Business Days of the date of payment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Party to the Agent; nor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(whether arising under this Clause 25.19 or otherwise) which relate to an Erroneous Payment will be affected by any act, omission, matter or thing which, but for this paragraph (b), would reduce, release or prejudice any such obligation or remedy (whether or not known by the Agent or any other Party).</w:t>
      </w:r>
    </w:p>
    <w:p>
      <w:pPr>
        <w:spacing w:after="0" w:line="176" w:lineRule="exact"/>
        <w:rPr>
          <w:sz w:val="20"/>
          <w:szCs w:val="20"/>
          <w:color w:val="auto"/>
        </w:rPr>
      </w:pPr>
    </w:p>
    <w:p>
      <w:pPr>
        <w:ind w:left="1300" w:hanging="644"/>
        <w:spacing w:after="0" w:line="282" w:lineRule="auto"/>
        <w:tabs>
          <w:tab w:leader="none" w:pos="130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Party to the Agent (whether made pursuant to this Clause 25.19 or otherwise) which relate to an Erroneous Payment shall be calculated and be made without (and free and clear of any deduction for) set-off or counterclaim.</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25.19,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means a payment of an amount by the Agent to another Party which the Agent determines (in its sole discretion) was made in error.</w:t>
      </w:r>
    </w:p>
    <w:p>
      <w:pPr>
        <w:spacing w:after="0" w:line="154" w:lineRule="exact"/>
        <w:rPr>
          <w:rFonts w:ascii="Times New Roman" w:cs="Times New Roman" w:eastAsia="Times New Roman" w:hAnsi="Times New Roman"/>
          <w:sz w:val="18"/>
          <w:szCs w:val="18"/>
          <w:color w:val="auto"/>
        </w:rPr>
      </w:pPr>
    </w:p>
    <w:p>
      <w:pPr>
        <w:ind w:left="660" w:right="6080" w:hanging="652"/>
        <w:spacing w:after="0" w:line="503" w:lineRule="auto"/>
        <w:tabs>
          <w:tab w:leader="none" w:pos="6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 OF BUSINESS BY THE FINANCE PARTIES </w:t>
      </w:r>
      <w:r>
        <w:rPr>
          <w:rFonts w:ascii="Times New Roman" w:cs="Times New Roman" w:eastAsia="Times New Roman" w:hAnsi="Times New Roman"/>
          <w:sz w:val="18"/>
          <w:szCs w:val="18"/>
          <w:color w:val="auto"/>
        </w:rPr>
        <w:t>No provision of this Agreement will:</w:t>
      </w:r>
    </w:p>
    <w:p>
      <w:pPr>
        <w:ind w:left="1300" w:hanging="644"/>
        <w:spacing w:after="0"/>
        <w:tabs>
          <w:tab w:leader="none" w:pos="130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SHARING AMONG THE FINANCE PARTIES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receives or recovers any amount from an Obligor other than in accordance with Clause 28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the Finance Documents then:</w:t>
      </w:r>
    </w:p>
    <w:p>
      <w:pPr>
        <w:spacing w:after="0" w:line="159" w:lineRule="exact"/>
        <w:rPr>
          <w:sz w:val="20"/>
          <w:szCs w:val="20"/>
          <w:color w:val="auto"/>
        </w:rPr>
      </w:pPr>
    </w:p>
    <w:p>
      <w:pPr>
        <w:ind w:left="1300" w:hanging="644"/>
        <w:spacing w:after="0"/>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Business Days, notify details of the receipt or recovery to the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 and</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in accordance with Clause 28.6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4" w:name="page305"/>
    <w:bookmarkEnd w:id="30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28.6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towards the obligations of that Obligor to the Sharing Finance Parties.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On a distribution by the Agent under Clause 27.2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8"/>
          <w:szCs w:val="18"/>
          <w:b w:val="1"/>
          <w:bCs w:val="1"/>
          <w:color w:val="auto"/>
        </w:rPr>
        <w:t>Redistributed Amount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relevant Obligor and each relevant Sharing Finance Party, an amount equal to the relevant Redistributed Amount will be treated as not having been paid by that Obligor.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229" w:lineRule="exact"/>
        <w:rPr>
          <w:sz w:val="20"/>
          <w:szCs w:val="20"/>
          <w:color w:val="auto"/>
        </w:rPr>
      </w:pPr>
    </w:p>
    <w:p>
      <w:pPr>
        <w:ind w:left="660" w:hanging="652"/>
        <w:spacing w:after="0" w:line="282" w:lineRule="auto"/>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27 shall not apply to the extent that the Recovering Finance Party would not, after making any payment pursuant to this Clause, have a valid and enforceable claim against the relevant Obligor.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that other Finance Party of the legal or arbitration proceedings;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5" w:lineRule="exact"/>
        <w:rPr>
          <w:sz w:val="20"/>
          <w:szCs w:val="20"/>
          <w:color w:val="auto"/>
        </w:rPr>
      </w:pPr>
    </w:p>
    <w:p>
      <w:pPr>
        <w:ind w:left="660" w:hanging="652"/>
        <w:spacing w:after="0"/>
        <w:tabs>
          <w:tab w:leader="none" w:pos="6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MECHANICS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b w:val="1"/>
          <w:bCs w:val="1"/>
          <w:color w:val="auto"/>
        </w:rPr>
        <w:t>Payments to the Agent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that currency and with such bank as the Agent, in each case, specifies.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b w:val="1"/>
          <w:bCs w:val="1"/>
          <w:color w:val="auto"/>
        </w:rPr>
        <w:t>Distributions by the Agent</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28.3 (</w:t>
      </w:r>
      <w:r>
        <w:rPr>
          <w:rFonts w:ascii="Times New Roman" w:cs="Times New Roman" w:eastAsia="Times New Roman" w:hAnsi="Times New Roman"/>
          <w:sz w:val="18"/>
          <w:szCs w:val="18"/>
          <w:i w:val="1"/>
          <w:iCs w:val="1"/>
          <w:color w:val="auto"/>
        </w:rPr>
        <w:t>Distributions to an Obligor</w:t>
      </w:r>
      <w:r>
        <w:rPr>
          <w:rFonts w:ascii="Times New Roman" w:cs="Times New Roman" w:eastAsia="Times New Roman" w:hAnsi="Times New Roman"/>
          <w:sz w:val="18"/>
          <w:szCs w:val="18"/>
          <w:color w:val="auto"/>
        </w:rPr>
        <w:t>) and Clause 28.4 (</w:t>
      </w:r>
      <w:r>
        <w:rPr>
          <w:rFonts w:ascii="Times New Roman" w:cs="Times New Roman" w:eastAsia="Times New Roman" w:hAnsi="Times New Roman"/>
          <w:sz w:val="18"/>
          <w:szCs w:val="18"/>
          <w:i w:val="1"/>
          <w:iCs w:val="1"/>
          <w:color w:val="auto"/>
        </w:rPr>
        <w:t>Clawback and prefunding</w:t>
      </w:r>
      <w:r>
        <w:rPr>
          <w:rFonts w:ascii="Times New Roman" w:cs="Times New Roman" w:eastAsia="Times New Roman" w:hAnsi="Times New Roman"/>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7"/>
          <w:szCs w:val="17"/>
          <w:b w:val="1"/>
          <w:bCs w:val="1"/>
          <w:color w:val="auto"/>
        </w:rPr>
        <w:t>Distributions to an Obligor</w:t>
      </w:r>
    </w:p>
    <w:p>
      <w:pPr>
        <w:spacing w:after="0" w:line="227" w:lineRule="exact"/>
        <w:rPr>
          <w:sz w:val="20"/>
          <w:szCs w:val="20"/>
          <w:color w:val="auto"/>
        </w:rPr>
      </w:pPr>
    </w:p>
    <w:p>
      <w:pPr>
        <w:jc w:val="both"/>
        <w:ind w:left="660" w:right="20"/>
        <w:spacing w:after="0" w:line="267" w:lineRule="auto"/>
        <w:rPr>
          <w:sz w:val="20"/>
          <w:szCs w:val="20"/>
          <w:color w:val="auto"/>
        </w:rPr>
      </w:pPr>
      <w:r>
        <w:rPr>
          <w:rFonts w:ascii="Times New Roman" w:cs="Times New Roman" w:eastAsia="Times New Roman" w:hAnsi="Times New Roman"/>
          <w:sz w:val="18"/>
          <w:szCs w:val="18"/>
          <w:color w:val="auto"/>
        </w:rPr>
        <w:t>The Agent may (with the consent of the Obligor or in accordance with Clause 29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7"/>
          <w:szCs w:val="17"/>
          <w:b w:val="1"/>
          <w:bCs w:val="1"/>
          <w:color w:val="auto"/>
        </w:rPr>
        <w:t>Clawback and pre-funding</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6" w:name="page307"/>
    <w:bookmarkEnd w:id="306"/>
    <w:p>
      <w:pPr>
        <w:jc w:val="both"/>
        <w:ind w:left="1300" w:hanging="644"/>
        <w:spacing w:after="0" w:line="266" w:lineRule="auto"/>
        <w:tabs>
          <w:tab w:leader="none" w:pos="130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the Borrower: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Company of that Lender’s identity and the Borrower to whom that sum was made available shall on demand refund it to the Agent;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229" w:lineRule="exact"/>
        <w:rPr>
          <w:sz w:val="20"/>
          <w:szCs w:val="20"/>
          <w:color w:val="auto"/>
        </w:rPr>
      </w:pPr>
    </w:p>
    <w:p>
      <w:pPr>
        <w:ind w:left="1300" w:hanging="644"/>
        <w:spacing w:after="0" w:line="282" w:lineRule="auto"/>
        <w:tabs>
          <w:tab w:leader="none" w:pos="13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Agent becomes an Impaired Agent, an Obligor or a Lender which is required to make a payment under the Finance Documents to the Agent in accordance with Clause 28.1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may instead either: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the required recipient(s); or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its absolute discretion it considers that it is not reasonably practicable to pay that amount direct to the required recipient(s), pay that amount or the relevant part of that amount to an interest-bearing account held with an Acceptable Bank and in relation to which no Insolvency Event has occurred and is continuing, in the name of the Obligor or the Lender making the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such payments must be made on the due date for payment under the Finance Documents.</w:t>
      </w:r>
    </w:p>
    <w:p>
      <w:pPr>
        <w:spacing w:after="0" w:line="225" w:lineRule="exact"/>
        <w:rPr>
          <w:sz w:val="20"/>
          <w:szCs w:val="20"/>
          <w:color w:val="auto"/>
        </w:rPr>
      </w:pPr>
    </w:p>
    <w:p>
      <w:pPr>
        <w:ind w:left="1300" w:hanging="644"/>
        <w:spacing w:after="0" w:line="282"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28.5 shall be discharged of the relevant payment obligation under the Finance Documents and shall not take any credit risk with respect to the amounts standing to the credit of the trust account.</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in accordance with Clause 25.13 (</w:t>
      </w:r>
      <w:r>
        <w:rPr>
          <w:rFonts w:ascii="Times New Roman" w:cs="Times New Roman" w:eastAsia="Times New Roman" w:hAnsi="Times New Roman"/>
          <w:sz w:val="18"/>
          <w:szCs w:val="18"/>
          <w:i w:val="1"/>
          <w:iCs w:val="1"/>
          <w:color w:val="auto"/>
        </w:rPr>
        <w:t>Replacement of the Agent</w:t>
      </w:r>
      <w:r>
        <w:rPr>
          <w:rFonts w:ascii="Times New Roman" w:cs="Times New Roman" w:eastAsia="Times New Roman" w:hAnsi="Times New Roman"/>
          <w:sz w:val="18"/>
          <w:szCs w:val="18"/>
          <w:color w:val="auto"/>
        </w:rPr>
        <w:t>), each Paying Party shall (other than to the extent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28.2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Paying Party shall, promptly upon request by a Recipient Party and to the extent: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give all requisite instructions to the bank with whom the trust account is held to transfer the relevant amount (together with any accrued interest) to that Recipient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b w:val="1"/>
          <w:bCs w:val="1"/>
          <w:color w:val="auto"/>
        </w:rPr>
        <w:t>Partial payments</w:t>
      </w:r>
    </w:p>
    <w:p>
      <w:pPr>
        <w:spacing w:after="0" w:line="229" w:lineRule="exact"/>
        <w:rPr>
          <w:sz w:val="20"/>
          <w:szCs w:val="20"/>
          <w:color w:val="auto"/>
        </w:rPr>
      </w:pPr>
    </w:p>
    <w:p>
      <w:pPr>
        <w:jc w:val="both"/>
        <w:ind w:left="1300" w:right="20" w:hanging="644"/>
        <w:spacing w:after="0" w:line="266" w:lineRule="auto"/>
        <w:tabs>
          <w:tab w:leader="none" w:pos="130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in or towards payment pro rata of any unpaid amount owing to the Agent or the Arranger under the Finance Documents;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secondly</w:t>
      </w:r>
      <w:r>
        <w:rPr>
          <w:rFonts w:ascii="Times New Roman" w:cs="Times New Roman" w:eastAsia="Times New Roman" w:hAnsi="Times New Roman"/>
          <w:sz w:val="18"/>
          <w:szCs w:val="18"/>
          <w:color w:val="auto"/>
        </w:rPr>
        <w:t>, in or towards payment pro rata of any accrued interest, fee or commission due but unpaid under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thirdly</w:t>
      </w:r>
      <w:r>
        <w:rPr>
          <w:rFonts w:ascii="Times New Roman" w:cs="Times New Roman" w:eastAsia="Times New Roman" w:hAnsi="Times New Roman"/>
          <w:sz w:val="18"/>
          <w:szCs w:val="18"/>
          <w:color w:val="auto"/>
        </w:rPr>
        <w:t>, in or towards payment pro rata of any principal due but unpaid under this Agreement;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fourthly</w:t>
      </w:r>
      <w:r>
        <w:rPr>
          <w:rFonts w:ascii="Times New Roman" w:cs="Times New Roman" w:eastAsia="Times New Roman" w:hAnsi="Times New Roman"/>
          <w:sz w:val="18"/>
          <w:szCs w:val="18"/>
          <w:color w:val="auto"/>
        </w:rPr>
        <w:t>, in or towards payment pro rata of any other sum due but unpaid under the Finance Documents.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Majority Lenders, vary the order set out in paragraphs (a)(ii) to (iv) above.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 Obligor.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b w:val="1"/>
          <w:bCs w:val="1"/>
          <w:color w:val="auto"/>
        </w:rPr>
        <w:t>No set-off by Obligors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set-off or counterclaim.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229" w:lineRule="exact"/>
        <w:rPr>
          <w:sz w:val="20"/>
          <w:szCs w:val="20"/>
          <w:color w:val="auto"/>
        </w:rPr>
      </w:pPr>
    </w:p>
    <w:p>
      <w:pPr>
        <w:ind w:left="1300" w:hanging="644"/>
        <w:spacing w:after="0" w:line="282" w:lineRule="auto"/>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229" w:lineRule="exact"/>
        <w:rPr>
          <w:sz w:val="20"/>
          <w:szCs w:val="20"/>
          <w:color w:val="auto"/>
        </w:rPr>
      </w:pPr>
    </w:p>
    <w:p>
      <w:pPr>
        <w:ind w:left="1300" w:hanging="644"/>
        <w:spacing w:after="0" w:line="282" w:lineRule="auto"/>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to (e) below, U.S. dollars is the currency of account and payment for any sum due from an Obligor under any Finance Document.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Loan or Unpaid Sum or a part of a Loan or Unpaid Sum shall be made in the currency in which that Loan or Unpaid Sum is denominated, pursuant to this Agreement, on its due date.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shall be made in the currency in which the sum in respect of which the interest is payable was denominated, pursuant to this Agreement, when that interest accrued.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U.S. dollars shall be paid in that other currency.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8" w:name="page309"/>
    <w:bookmarkEnd w:id="308"/>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28.10</w:t>
      </w:r>
      <w:r>
        <w:rPr>
          <w:sz w:val="20"/>
          <w:szCs w:val="20"/>
          <w:color w:val="auto"/>
        </w:rPr>
        <w:tab/>
      </w:r>
      <w:r>
        <w:rPr>
          <w:rFonts w:ascii="Times New Roman" w:cs="Times New Roman" w:eastAsia="Times New Roman" w:hAnsi="Times New Roman"/>
          <w:sz w:val="17"/>
          <w:szCs w:val="17"/>
          <w:b w:val="1"/>
          <w:bCs w:val="1"/>
          <w:color w:val="auto"/>
        </w:rPr>
        <w:t>Change of currency</w:t>
      </w:r>
    </w:p>
    <w:p>
      <w:pPr>
        <w:spacing w:after="0" w:line="229" w:lineRule="exact"/>
        <w:rPr>
          <w:sz w:val="20"/>
          <w:szCs w:val="20"/>
          <w:color w:val="auto"/>
        </w:rPr>
      </w:pPr>
    </w:p>
    <w:p>
      <w:pPr>
        <w:ind w:left="1300" w:hanging="644"/>
        <w:spacing w:after="0" w:line="282" w:lineRule="auto"/>
        <w:tabs>
          <w:tab w:leader="none" w:pos="130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Company that a Disruption Event has occurred:</w:t>
      </w:r>
    </w:p>
    <w:p>
      <w:pPr>
        <w:spacing w:after="0" w:line="162" w:lineRule="exact"/>
        <w:rPr>
          <w:sz w:val="20"/>
          <w:szCs w:val="20"/>
          <w:color w:val="auto"/>
        </w:rPr>
      </w:pPr>
    </w:p>
    <w:p>
      <w:pPr>
        <w:ind w:left="1300" w:right="20" w:hanging="644"/>
        <w:spacing w:after="0" w:line="282"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Company, consult with the Company with a view to agreeing with the Company such changes to the operation or administration of the Facility as the Agent may deem necessary in the circumstances;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34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28.11;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9" w:name="page310"/>
    <w:bookmarkEnd w:id="309"/>
    <w:p>
      <w:pPr>
        <w:ind w:left="660" w:hanging="652"/>
        <w:spacing w:after="0"/>
        <w:tabs>
          <w:tab w:leader="none" w:pos="6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b w:val="1"/>
          <w:bCs w:val="1"/>
          <w:color w:val="auto"/>
        </w:rPr>
        <w:t>Addresses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62" w:lineRule="exact"/>
        <w:rPr>
          <w:sz w:val="20"/>
          <w:szCs w:val="20"/>
          <w:color w:val="auto"/>
        </w:rPr>
      </w:pPr>
    </w:p>
    <w:p>
      <w:pPr>
        <w:ind w:left="1300" w:hanging="644"/>
        <w:spacing w:after="0"/>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that identified with its name below;</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Lender or any other Obligor, that notified in writing to the Agent on or prior to the date on which it becomes a Party;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that identified with its name below,</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Agent (or the Agent may notify to the other Parties, if a change is made by the Agent) by not less than five Business Days’ notice.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229" w:lineRule="exact"/>
        <w:rPr>
          <w:sz w:val="20"/>
          <w:szCs w:val="20"/>
          <w:color w:val="auto"/>
        </w:rPr>
      </w:pPr>
    </w:p>
    <w:p>
      <w:pPr>
        <w:ind w:left="1300" w:right="20" w:hanging="644"/>
        <w:spacing w:after="0" w:line="282" w:lineRule="auto"/>
        <w:tabs>
          <w:tab w:leader="none" w:pos="13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when received in legible form;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when it has been left at the relevant address or five Business Days after being deposited in the post postage prepaid in an envelope addressed to it at that address,</w:t>
      </w:r>
    </w:p>
    <w:p>
      <w:pPr>
        <w:spacing w:after="0" w:line="160"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30.2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shall be sent through the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0" w:name="page311"/>
    <w:bookmarkEnd w:id="310"/>
    <w:p>
      <w:pPr>
        <w:ind w:left="1300" w:hanging="644"/>
        <w:spacing w:after="0" w:line="282" w:lineRule="auto"/>
        <w:tabs>
          <w:tab w:leader="none" w:pos="13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Company in accordance with this Clause will be deemed to have been made or delivered to each of the Obligors.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Promptly upon changing its address or fax number, the Agent shall notify the other Parties.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transmission of information by that means;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 by not less than five Business Days’ notice.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a Finance Document to a communication being sent or received or a document being delivered shall be construed to include that communication or document being made available in accordance with this Clause 30.6.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b w:val="1"/>
          <w:bCs w:val="1"/>
          <w:color w:val="auto"/>
        </w:rPr>
        <w:t>English language</w:t>
      </w:r>
    </w:p>
    <w:p>
      <w:pPr>
        <w:spacing w:after="0" w:line="229" w:lineRule="exact"/>
        <w:rPr>
          <w:sz w:val="20"/>
          <w:szCs w:val="20"/>
          <w:color w:val="auto"/>
        </w:rPr>
      </w:pPr>
    </w:p>
    <w:p>
      <w:pPr>
        <w:ind w:left="1300" w:hanging="644"/>
        <w:spacing w:after="0"/>
        <w:tabs>
          <w:tab w:leader="none" w:pos="130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 AND CERTIFICATES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b w:val="1"/>
          <w:bCs w:val="1"/>
          <w:color w:val="auto"/>
        </w:rPr>
        <w:t>Day count convention and interest calculation</w:t>
      </w:r>
    </w:p>
    <w:p>
      <w:pPr>
        <w:spacing w:after="0" w:line="229" w:lineRule="exact"/>
        <w:rPr>
          <w:sz w:val="20"/>
          <w:szCs w:val="20"/>
          <w:color w:val="auto"/>
        </w:rPr>
      </w:pPr>
    </w:p>
    <w:p>
      <w:pPr>
        <w:ind w:left="1300" w:hanging="644"/>
        <w:spacing w:after="0" w:line="282" w:lineRule="auto"/>
        <w:tabs>
          <w:tab w:leader="none" w:pos="130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commission or fee accruing under a Finance Document will accrue from day to day and the amount of any such interest, commission or fee is calculated: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actual number of days elapsed and a year of 360 days (or, in any case where the practice in the Relevant Market differs, in accordance with that market practice);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without rounding.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accrued interest, commission or fee which is, or becomes, payable by an Obligor under a Finance Document shall be rounded to two decimal places.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INVALIDITY</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waiver or election to affirm any Finance Document on the part of any Finance Party shall be effective unless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2" w:name="page313"/>
    <w:bookmarkEnd w:id="312"/>
    <w:p>
      <w:pPr>
        <w:ind w:left="660" w:hanging="652"/>
        <w:spacing w:after="0"/>
        <w:tabs>
          <w:tab w:leader="none" w:pos="6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227" w:lineRule="exact"/>
        <w:rPr>
          <w:sz w:val="20"/>
          <w:szCs w:val="20"/>
          <w:color w:val="auto"/>
        </w:rPr>
      </w:pPr>
    </w:p>
    <w:p>
      <w:pPr>
        <w:jc w:val="both"/>
        <w:ind w:left="1300" w:hanging="644"/>
        <w:spacing w:after="0" w:line="284" w:lineRule="auto"/>
        <w:tabs>
          <w:tab w:leader="none" w:pos="13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34.2 (</w:t>
      </w:r>
      <w:r>
        <w:rPr>
          <w:rFonts w:ascii="Times New Roman" w:cs="Times New Roman" w:eastAsia="Times New Roman" w:hAnsi="Times New Roman"/>
          <w:sz w:val="18"/>
          <w:szCs w:val="18"/>
          <w:i w:val="1"/>
          <w:iCs w:val="1"/>
          <w:color w:val="auto"/>
        </w:rPr>
        <w:t>All Lender matters</w:t>
      </w:r>
      <w:r>
        <w:rPr>
          <w:rFonts w:ascii="Times New Roman" w:cs="Times New Roman" w:eastAsia="Times New Roman" w:hAnsi="Times New Roman"/>
          <w:sz w:val="18"/>
          <w:szCs w:val="18"/>
          <w:color w:val="auto"/>
        </w:rPr>
        <w:t>) and Clause 34.3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any term of the Finance Documents may be amended or waived only with the consent of the Majority Lenders and the Obligors and any such amendment or waiver will be binding on all Parties.</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 any amendment or waiver permitted by this Clause.</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(c) of Clause 23.10 (</w:t>
      </w:r>
      <w:r>
        <w:rPr>
          <w:rFonts w:ascii="Times New Roman" w:cs="Times New Roman" w:eastAsia="Times New Roman" w:hAnsi="Times New Roman"/>
          <w:sz w:val="18"/>
          <w:szCs w:val="18"/>
          <w:i w:val="1"/>
          <w:iCs w:val="1"/>
          <w:color w:val="auto"/>
        </w:rPr>
        <w:t>Pro rata interest settlement</w:t>
      </w:r>
      <w:r>
        <w:rPr>
          <w:rFonts w:ascii="Times New Roman" w:cs="Times New Roman" w:eastAsia="Times New Roman" w:hAnsi="Times New Roman"/>
          <w:sz w:val="18"/>
          <w:szCs w:val="18"/>
          <w:color w:val="auto"/>
        </w:rPr>
        <w:t>) shall apply to this Clause 34.</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b w:val="1"/>
          <w:bCs w:val="1"/>
          <w:color w:val="auto"/>
        </w:rPr>
        <w:t>All Lender matters</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Subject to Clause 34.4 (</w:t>
      </w:r>
      <w:r>
        <w:rPr>
          <w:rFonts w:ascii="Times New Roman" w:cs="Times New Roman" w:eastAsia="Times New Roman" w:hAnsi="Times New Roman"/>
          <w:sz w:val="18"/>
          <w:szCs w:val="18"/>
          <w:i w:val="1"/>
          <w:iCs w:val="1"/>
          <w:color w:val="auto"/>
        </w:rPr>
        <w:t>Changes to reference rates</w:t>
      </w:r>
      <w:r>
        <w:rPr>
          <w:rFonts w:ascii="Times New Roman" w:cs="Times New Roman" w:eastAsia="Times New Roman" w:hAnsi="Times New Roman"/>
          <w:sz w:val="18"/>
          <w:szCs w:val="18"/>
          <w:color w:val="auto"/>
        </w:rPr>
        <w:t>) an amendment or waiver of any term of any Finance Document that has the effect of changing or which relates to:</w:t>
      </w:r>
    </w:p>
    <w:p>
      <w:pPr>
        <w:spacing w:after="0" w:line="158" w:lineRule="exact"/>
        <w:rPr>
          <w:sz w:val="20"/>
          <w:szCs w:val="20"/>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“Majority Lenders”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any payment of principal, interest, fees or commission payable;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currency of payment of any amount under the Finance Documents;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any Commitment, an extension of any Availability Period or any requirement that a cancellation of Commitments reduces the Commitments of the Lenders rateably under the relevant Facility;</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Borrowers or Guarantors other than in accordance with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Clause 5.1 (</w:t>
      </w:r>
      <w:r>
        <w:rPr>
          <w:rFonts w:ascii="Times New Roman" w:cs="Times New Roman" w:eastAsia="Times New Roman" w:hAnsi="Times New Roman"/>
          <w:sz w:val="18"/>
          <w:szCs w:val="18"/>
          <w:i w:val="1"/>
          <w:iCs w:val="1"/>
          <w:color w:val="auto"/>
        </w:rPr>
        <w:t>Delivery of a</w:t>
      </w:r>
      <w:r>
        <w:rPr>
          <w:rFonts w:ascii="Times New Roman" w:cs="Times New Roman" w:eastAsia="Times New Roman" w:hAnsi="Times New Roman"/>
          <w:sz w:val="18"/>
          <w:szCs w:val="18"/>
          <w:color w:val="auto"/>
        </w:rPr>
        <w:t xml:space="preserve"> Utilisation </w:t>
      </w:r>
      <w:r>
        <w:rPr>
          <w:rFonts w:ascii="Times New Roman" w:cs="Times New Roman" w:eastAsia="Times New Roman" w:hAnsi="Times New Roman"/>
          <w:sz w:val="18"/>
          <w:szCs w:val="18"/>
          <w:i w:val="1"/>
          <w:iCs w:val="1"/>
          <w:color w:val="auto"/>
        </w:rPr>
        <w:t>Request</w:t>
      </w:r>
      <w:r>
        <w:rPr>
          <w:rFonts w:ascii="Times New Roman" w:cs="Times New Roman" w:eastAsia="Times New Roman" w:hAnsi="Times New Roman"/>
          <w:sz w:val="18"/>
          <w:szCs w:val="18"/>
          <w:color w:val="auto"/>
        </w:rPr>
        <w:t>), Clause 7.1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7.2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Clause 7.8 (</w:t>
      </w:r>
      <w:r>
        <w:rPr>
          <w:rFonts w:ascii="Times New Roman" w:cs="Times New Roman" w:eastAsia="Times New Roman" w:hAnsi="Times New Roman"/>
          <w:sz w:val="18"/>
          <w:szCs w:val="18"/>
          <w:i w:val="1"/>
          <w:iCs w:val="1"/>
          <w:color w:val="auto"/>
        </w:rPr>
        <w:t>Application of prepayments</w:t>
      </w:r>
      <w:r>
        <w:rPr>
          <w:rFonts w:ascii="Times New Roman" w:cs="Times New Roman" w:eastAsia="Times New Roman" w:hAnsi="Times New Roman"/>
          <w:sz w:val="18"/>
          <w:szCs w:val="18"/>
          <w:color w:val="auto"/>
        </w:rPr>
        <w:t>), Clause 23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Clause 24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Clause 27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this Clause 34, Clause 39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or Clause 40.1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or scope of the guarantee and indemnity granted under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“Sanctions”, “Sanctions Authority” or “Sanctions Restricted Person”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or Clause 18.21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or Clause 21.14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3" w:name="page314"/>
    <w:bookmarkEnd w:id="313"/>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7"/>
          <w:szCs w:val="17"/>
          <w:b w:val="1"/>
          <w:bCs w:val="1"/>
          <w:color w:val="auto"/>
        </w:rPr>
        <w:t>Other exceptions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 amendment or waiver which relates to the rights or obligations of the Agent or the Arranger (each in their capacity as such) may not be effected without the consent of the Agent or the Arranger, as the case may be.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7"/>
          <w:szCs w:val="17"/>
          <w:b w:val="1"/>
          <w:bCs w:val="1"/>
          <w:color w:val="auto"/>
        </w:rPr>
        <w:t>Changes to reference rates</w:t>
      </w:r>
    </w:p>
    <w:p>
      <w:pPr>
        <w:spacing w:after="0" w:line="227" w:lineRule="exact"/>
        <w:rPr>
          <w:sz w:val="20"/>
          <w:szCs w:val="20"/>
          <w:color w:val="auto"/>
        </w:rPr>
      </w:pPr>
    </w:p>
    <w:p>
      <w:pPr>
        <w:ind w:left="1300" w:hanging="644"/>
        <w:spacing w:after="0" w:line="284" w:lineRule="auto"/>
        <w:tabs>
          <w:tab w:leader="none" w:pos="13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34.3 (</w:t>
      </w:r>
      <w:r>
        <w:rPr>
          <w:rFonts w:ascii="Times New Roman" w:cs="Times New Roman" w:eastAsia="Times New Roman" w:hAnsi="Times New Roman"/>
          <w:sz w:val="18"/>
          <w:szCs w:val="18"/>
          <w:i w:val="1"/>
          <w:iCs w:val="1"/>
          <w:color w:val="auto"/>
        </w:rPr>
        <w:t>Other exceptions</w:t>
      </w:r>
      <w:r>
        <w:rPr>
          <w:rFonts w:ascii="Times New Roman" w:cs="Times New Roman" w:eastAsia="Times New Roman" w:hAnsi="Times New Roman"/>
          <w:sz w:val="18"/>
          <w:szCs w:val="18"/>
          <w:color w:val="auto"/>
        </w:rPr>
        <w:t>), if a Published Rate Replacement Event has occurred in relation to any Published Rate for a currency which can be selected for a Loan, any amendment or waiver which relates to:</w:t>
      </w:r>
    </w:p>
    <w:p>
      <w:pPr>
        <w:spacing w:after="0" w:line="16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Reference Rate in relation to that currency in place of that Published Rate;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2600" w:hanging="648"/>
        <w:spacing w:after="0"/>
        <w:tabs>
          <w:tab w:leader="none" w:pos="26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Reference Rate;</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Reference Rate;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Reference Rate; or</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and the Obligors.</w:t>
      </w:r>
    </w:p>
    <w:p>
      <w:pPr>
        <w:spacing w:after="0" w:line="225" w:lineRule="exact"/>
        <w:rPr>
          <w:sz w:val="20"/>
          <w:szCs w:val="20"/>
          <w:color w:val="auto"/>
        </w:rPr>
      </w:pPr>
    </w:p>
    <w:p>
      <w:pPr>
        <w:ind w:left="1300" w:hanging="644"/>
        <w:spacing w:after="0" w:line="282" w:lineRule="auto"/>
        <w:tabs>
          <w:tab w:leader="none" w:pos="13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fails to respond to a request for an amendment or waiver described in paragraph (a) above within 15 Business Days (or such longer time period in relation to any request which the Company and the Agent may agree) of that request being made: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Commitment(s) shall not be included for the purpose of calculating the Total Commitments under the relevant Facility/ies when ascertaining whether any relevant percentage of Total Commitments has been obtained to approve that request;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any specified group of Lenders has been obtained to approve that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ind w:left="644" w:hanging="644"/>
        <w:spacing w:after="0"/>
        <w:tabs>
          <w:tab w:leader="none" w:pos="64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34.4:</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means the Primary Term Rate for any Quoted Tenor.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 Replacement Event</w:t>
      </w:r>
      <w:r>
        <w:rPr>
          <w:rFonts w:ascii="Times New Roman" w:cs="Times New Roman" w:eastAsia="Times New Roman" w:hAnsi="Times New Roman"/>
          <w:sz w:val="18"/>
          <w:szCs w:val="18"/>
          <w:color w:val="auto"/>
        </w:rPr>
        <w:t>” means, in relation to a Published Rate:</w:t>
      </w:r>
    </w:p>
    <w:p>
      <w:pPr>
        <w:spacing w:after="0" w:line="229" w:lineRule="exact"/>
        <w:rPr>
          <w:sz w:val="20"/>
          <w:szCs w:val="20"/>
          <w:color w:val="auto"/>
        </w:rPr>
      </w:pPr>
    </w:p>
    <w:p>
      <w:pPr>
        <w:ind w:left="1304" w:hanging="656"/>
        <w:spacing w:after="0" w:line="282" w:lineRule="auto"/>
        <w:tabs>
          <w:tab w:leader="none" w:pos="130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Published Rate has, in the opinion of the Majority Lenders and the Obligors, materially changed;</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(ii)</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w:t>
      </w:r>
    </w:p>
    <w:p>
      <w:pPr>
        <w:spacing w:after="0" w:line="225" w:lineRule="exact"/>
        <w:rPr>
          <w:sz w:val="20"/>
          <w:szCs w:val="20"/>
          <w:color w:val="auto"/>
        </w:rPr>
      </w:pPr>
    </w:p>
    <w:p>
      <w:pPr>
        <w:ind w:left="1944" w:hanging="648"/>
        <w:spacing w:after="0"/>
        <w:tabs>
          <w:tab w:leader="none" w:pos="194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or its supervisor publicly announces that such administrator is insolvent; or</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17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in each case, at that time, there is no successor administrator to continue to provide that Published Rate;</w:t>
      </w:r>
    </w:p>
    <w:p>
      <w:pPr>
        <w:spacing w:after="0" w:line="229" w:lineRule="exact"/>
        <w:rPr>
          <w:sz w:val="20"/>
          <w:szCs w:val="20"/>
          <w:color w:val="auto"/>
        </w:rPr>
      </w:pPr>
    </w:p>
    <w:p>
      <w:pPr>
        <w:ind w:left="1304" w:right="20" w:hanging="656"/>
        <w:spacing w:after="0" w:line="282" w:lineRule="auto"/>
        <w:tabs>
          <w:tab w:leader="none" w:pos="130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publicly announces that it has ceased or will cease to provide that Published Rate permanently or indefinitely and, at that time, there is no successor administrator to continue to provide that Published Rate;</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Published Rate publicly announces that such Published Rate has been or will be permanently or indefinitely discontinued;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or its supervisor announces that that Published Rate may no longer be used; or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Primary Term Rate makes a public announcement or publishes information stating that that Primary Term Rate for that Quoted Tenor is no longer, or as of a specified future date will no longer be, representative of the underlying market or economic reality that it is intended to measure and that representativeness will not be restored (as determined by such supervisor); or</w:t>
      </w:r>
    </w:p>
    <w:p>
      <w:pPr>
        <w:spacing w:after="0" w:line="180" w:lineRule="exact"/>
        <w:rPr>
          <w:sz w:val="20"/>
          <w:szCs w:val="20"/>
          <w:color w:val="auto"/>
        </w:rPr>
      </w:pPr>
    </w:p>
    <w:p>
      <w:pPr>
        <w:ind w:left="1304" w:hanging="656"/>
        <w:spacing w:after="0" w:line="282" w:lineRule="auto"/>
        <w:tabs>
          <w:tab w:leader="none" w:pos="130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determines that that Published Rate should be calculated in accordance with its reduced submissions or other contingency or fallback policies or arrangements and either:</w:t>
      </w:r>
    </w:p>
    <w:p>
      <w:pPr>
        <w:spacing w:after="0" w:line="162" w:lineRule="exact"/>
        <w:rPr>
          <w:sz w:val="20"/>
          <w:szCs w:val="20"/>
          <w:color w:val="auto"/>
        </w:rPr>
      </w:pPr>
    </w:p>
    <w:p>
      <w:pPr>
        <w:ind w:left="1304" w:hanging="656"/>
        <w:spacing w:after="0" w:line="282" w:lineRule="auto"/>
        <w:tabs>
          <w:tab w:leader="none" w:pos="130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and the Obligors) temporary;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Published Rate is calculated in accordance with any such policy or arrangement for a period no less than the period specified as the “</w:t>
      </w:r>
      <w:r>
        <w:rPr>
          <w:rFonts w:ascii="Times New Roman" w:cs="Times New Roman" w:eastAsia="Times New Roman" w:hAnsi="Times New Roman"/>
          <w:sz w:val="18"/>
          <w:szCs w:val="18"/>
          <w:b w:val="1"/>
          <w:bCs w:val="1"/>
          <w:color w:val="auto"/>
        </w:rPr>
        <w:t>Published Rate Contingency Period</w:t>
      </w:r>
      <w:r>
        <w:rPr>
          <w:rFonts w:ascii="Times New Roman" w:cs="Times New Roman" w:eastAsia="Times New Roman" w:hAnsi="Times New Roman"/>
          <w:sz w:val="18"/>
          <w:szCs w:val="18"/>
          <w:color w:val="auto"/>
        </w:rPr>
        <w:t>” in the Reference Rate Terms relating to that Published Rate; or</w:t>
      </w:r>
    </w:p>
    <w:p>
      <w:pPr>
        <w:spacing w:after="0" w:line="162" w:lineRule="exact"/>
        <w:rPr>
          <w:sz w:val="20"/>
          <w:szCs w:val="20"/>
          <w:color w:val="auto"/>
        </w:rPr>
      </w:pPr>
    </w:p>
    <w:p>
      <w:pPr>
        <w:ind w:left="1304" w:hanging="656"/>
        <w:spacing w:after="0" w:line="282" w:lineRule="auto"/>
        <w:tabs>
          <w:tab w:leader="none" w:pos="130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Obligors, that Published Rate is otherwise no longer appropriate for the purposes of calculating interest under this Agreement.</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315" w:name="page316"/>
    <w:bookmarkEnd w:id="315"/>
    <w:p>
      <w:pPr>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Nominating Body</w:t>
      </w:r>
      <w:r>
        <w:rPr>
          <w:rFonts w:ascii="Times New Roman" w:cs="Times New Roman" w:eastAsia="Times New Roman" w:hAnsi="Times New Roman"/>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Reference Rate</w:t>
      </w:r>
      <w:r>
        <w:rPr>
          <w:rFonts w:ascii="Times New Roman" w:cs="Times New Roman" w:eastAsia="Times New Roman" w:hAnsi="Times New Roman"/>
          <w:sz w:val="18"/>
          <w:szCs w:val="18"/>
          <w:color w:val="auto"/>
        </w:rPr>
        <w:t>” means a reference rate which is:</w:t>
      </w:r>
    </w:p>
    <w:p>
      <w:pPr>
        <w:spacing w:after="0" w:line="229" w:lineRule="exact"/>
        <w:rPr>
          <w:sz w:val="20"/>
          <w:szCs w:val="20"/>
          <w:color w:val="auto"/>
        </w:rPr>
      </w:pPr>
    </w:p>
    <w:p>
      <w:pPr>
        <w:ind w:left="1300" w:hanging="644"/>
        <w:spacing w:after="0"/>
        <w:tabs>
          <w:tab w:leader="none" w:pos="13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Published Rate by:</w:t>
      </w:r>
    </w:p>
    <w:p>
      <w:pPr>
        <w:spacing w:after="0" w:line="221"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Published Rate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market or the economic reality that such reference rate measures is the same as that measured by that Published Rate); or</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Reference Rate” will be the replacement under paragraph (ii) above;</w:t>
      </w:r>
    </w:p>
    <w:p>
      <w:pPr>
        <w:spacing w:after="0" w:line="162" w:lineRule="exact"/>
        <w:rPr>
          <w:sz w:val="20"/>
          <w:szCs w:val="20"/>
          <w:color w:val="auto"/>
        </w:rPr>
      </w:pPr>
    </w:p>
    <w:p>
      <w:pPr>
        <w:ind w:left="1300" w:hanging="644"/>
        <w:spacing w:after="0" w:line="282" w:lineRule="auto"/>
        <w:tabs>
          <w:tab w:leader="none" w:pos="13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Obligors, generally accepted in the international or any relevant domestic syndicated loan markets as the appropriate successor to a Published Rate;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Obligors, an appropriate successor to a Published Rate.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7"/>
          <w:szCs w:val="17"/>
          <w:b w:val="1"/>
          <w:bCs w:val="1"/>
          <w:color w:val="auto"/>
        </w:rPr>
        <w:t>Disenfranchisement of Defaulting Lenders</w:t>
      </w:r>
    </w:p>
    <w:p>
      <w:pPr>
        <w:spacing w:after="0" w:line="229" w:lineRule="exact"/>
        <w:rPr>
          <w:sz w:val="20"/>
          <w:szCs w:val="20"/>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Defaulting Lender has any Available Commitment, in ascertaining: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under the relevant Facility/ies;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w:t>
      </w:r>
    </w:p>
    <w:p>
      <w:pPr>
        <w:spacing w:after="0" w:line="200" w:lineRule="exact"/>
        <w:rPr>
          <w:sz w:val="20"/>
          <w:szCs w:val="20"/>
          <w:color w:val="auto"/>
        </w:rPr>
      </w:pPr>
    </w:p>
    <w:p>
      <w:pPr>
        <w:spacing w:after="0" w:line="24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that Defaulting Lender’s Commitments under the relevant Facility/ies will be reduced by the amount of its Available Commitments under the relevant Facility/ies and, to the extent that that reduction results in that Defaulting Lender’s Total Commitments being zero, that Defaulting Lender shall be deemed not to be a Lender for the purposes of paragraphs (i) and (ii) above.</w:t>
      </w:r>
    </w:p>
    <w:p>
      <w:pPr>
        <w:spacing w:after="0" w:line="176" w:lineRule="exact"/>
        <w:rPr>
          <w:sz w:val="20"/>
          <w:szCs w:val="20"/>
          <w:color w:val="auto"/>
        </w:rPr>
      </w:pPr>
    </w:p>
    <w:p>
      <w:pPr>
        <w:ind w:left="1300" w:hanging="644"/>
        <w:spacing w:after="0"/>
        <w:tabs>
          <w:tab w:leader="none" w:pos="130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34.5, the Agent may assume that the following Lenders are Defaulting Lenders: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has occurred,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6" w:name="page317"/>
    <w:bookmarkEnd w:id="316"/>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8"/>
          <w:szCs w:val="18"/>
          <w:b w:val="1"/>
          <w:bCs w:val="1"/>
          <w:color w:val="auto"/>
        </w:rPr>
        <w:t>Excluded Commitments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any Defaulting Lender fails to respond to a request for a consent, waiver, amendment of or in relation to any term of any Finance Document or any other vote of Lenders under the terms of this Agreement within 10 Business Days (unless the Company and the Agent agree to a longer time period in relation to any request) of that request being made:</w:t>
      </w:r>
    </w:p>
    <w:p>
      <w:pPr>
        <w:spacing w:after="0" w:line="176" w:lineRule="exact"/>
        <w:rPr>
          <w:sz w:val="20"/>
          <w:szCs w:val="20"/>
          <w:color w:val="auto"/>
        </w:rPr>
      </w:pPr>
    </w:p>
    <w:p>
      <w:pPr>
        <w:jc w:val="both"/>
        <w:ind w:left="1960" w:hanging="656"/>
        <w:spacing w:after="0" w:line="266" w:lineRule="auto"/>
        <w:tabs>
          <w:tab w:leader="none" w:pos="19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Commitment(s)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any specified group of Lenders has been obtained to approve that request.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7"/>
          <w:szCs w:val="17"/>
          <w:b w:val="1"/>
          <w:bCs w:val="1"/>
          <w:color w:val="auto"/>
        </w:rPr>
        <w:t>Replacement of a Defaulting Lender</w:t>
      </w:r>
    </w:p>
    <w:p>
      <w:pPr>
        <w:spacing w:after="0" w:line="229" w:lineRule="exact"/>
        <w:rPr>
          <w:sz w:val="20"/>
          <w:szCs w:val="20"/>
          <w:color w:val="auto"/>
        </w:rPr>
      </w:pPr>
    </w:p>
    <w:p>
      <w:pPr>
        <w:ind w:left="1300" w:hanging="644"/>
        <w:spacing w:after="0" w:line="282" w:lineRule="auto"/>
        <w:tabs>
          <w:tab w:leader="none" w:pos="130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a Lender has become and continues to be a Defaulting Lender, by giving 10 Business Days’ prior written notice to the Agent and such Lender: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such Lender by requiring such Lender to (and, to the extent permitted by law, such Lender shall) transfer pursuant to Clause 23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w:t>
      </w:r>
    </w:p>
    <w:p>
      <w:pPr>
        <w:spacing w:after="0" w:line="159"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Lender to (and, to the extent permitted by law, such Lender shall) transfer pursuant to Clause 23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all (and not part only) of the undrawn Commitment of the Lender; or</w:t>
      </w:r>
    </w:p>
    <w:p>
      <w:pPr>
        <w:spacing w:after="0" w:line="158"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Lender to (and, to the extent permitted by law, such Lender shall) transfer pursuant to Clause 23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all (and not part only) of its rights and obligations in respect of the Facility,</w:t>
      </w:r>
    </w:p>
    <w:p>
      <w:pPr>
        <w:spacing w:after="0" w:line="156" w:lineRule="exact"/>
        <w:rPr>
          <w:sz w:val="20"/>
          <w:szCs w:val="20"/>
          <w:color w:val="auto"/>
        </w:rPr>
      </w:pPr>
    </w:p>
    <w:p>
      <w:pPr>
        <w:jc w:val="both"/>
        <w:ind w:left="1300" w:right="20"/>
        <w:spacing w:after="0" w:line="268" w:lineRule="auto"/>
        <w:rPr>
          <w:sz w:val="20"/>
          <w:szCs w:val="20"/>
          <w:color w:val="auto"/>
        </w:rPr>
      </w:pPr>
      <w:r>
        <w:rPr>
          <w:rFonts w:ascii="Times New Roman" w:cs="Times New Roman" w:eastAsia="Times New Roman" w:hAnsi="Times New Roman"/>
          <w:sz w:val="18"/>
          <w:szCs w:val="18"/>
          <w:color w:val="auto"/>
        </w:rPr>
        <w:t>to an Eligible Institution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which confirms its willingness to assume and does assume all the obligations, or all the relevant obligations, of the transferring Lender in accordance with Clause 23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for a purchase price in cash payable at the time of transfer which is either:</w:t>
      </w:r>
    </w:p>
    <w:p>
      <w:pPr>
        <w:spacing w:after="0" w:line="175" w:lineRule="exact"/>
        <w:rPr>
          <w:sz w:val="20"/>
          <w:szCs w:val="20"/>
          <w:color w:val="auto"/>
        </w:rPr>
      </w:pPr>
    </w:p>
    <w:p>
      <w:pPr>
        <w:jc w:val="both"/>
        <w:ind w:left="2600" w:hanging="648"/>
        <w:spacing w:after="0" w:line="266" w:lineRule="auto"/>
        <w:tabs>
          <w:tab w:leader="none" w:pos="26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equal to the outstanding principal amount of such Lender’s participation in the outstanding Loans and all accrued interest (to the extent that the Agent has not given a notification under Clause 24.10 (</w:t>
      </w:r>
      <w:r>
        <w:rPr>
          <w:rFonts w:ascii="Times New Roman" w:cs="Times New Roman" w:eastAsia="Times New Roman" w:hAnsi="Times New Roman"/>
          <w:sz w:val="18"/>
          <w:szCs w:val="18"/>
          <w:i w:val="1"/>
          <w:iCs w:val="1"/>
          <w:color w:val="auto"/>
        </w:rPr>
        <w:t>Pro rata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Break Costs and other amounts payable in relation thereto under the Finance Documents; or</w:t>
      </w:r>
    </w:p>
    <w:p>
      <w:pPr>
        <w:spacing w:after="0" w:line="17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amount agreed between that Defaulting Lender, the Replacement Lender and the Company and which does not exceed the amount described in paragraph (A)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ind w:left="1300" w:hanging="644"/>
        <w:spacing w:after="0"/>
        <w:tabs>
          <w:tab w:leader="none" w:pos="130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rights and obligations of a Defaulting Lender pursuant to this Clause 34.7 shall be subject to the following conditions: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right to replace the Agent;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Defaulting Lender shall have any obligation to the Company to find a Replacement Lender;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must take place no later than 10 Business Days after the notice referred to in paragraph (a) above;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Defaulting Lender be required to pay or surrender to the Replacement Lender any of the fees received by the Defaulting Lender pursuant to the Finance Documents;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Defaulting Lender shall perform the checks described in paragraph (b)(v) above as soon as reasonably practicable following delivery of a notice referred to in paragraph (a) above and shall notify the Agent and the Company when it is satisfied that it has complied with those checks.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35.2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Clause 35.3 (</w:t>
      </w:r>
      <w:r>
        <w:rPr>
          <w:rFonts w:ascii="Times New Roman" w:cs="Times New Roman" w:eastAsia="Times New Roman" w:hAnsi="Times New Roman"/>
          <w:sz w:val="18"/>
          <w:szCs w:val="18"/>
          <w:i w:val="1"/>
          <w:iCs w:val="1"/>
          <w:color w:val="auto"/>
        </w:rPr>
        <w:t>Disclosure to numbering service providers</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172" w:lineRule="exact"/>
        <w:rPr>
          <w:sz w:val="20"/>
          <w:szCs w:val="20"/>
          <w:color w:val="auto"/>
        </w:rPr>
      </w:pPr>
    </w:p>
    <w:p>
      <w:pPr>
        <w:jc w:val="center"/>
        <w:ind w:right="7600"/>
        <w:spacing w:after="0"/>
        <w:tabs>
          <w:tab w:leader="none" w:pos="32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Finance Party may disclose:</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ind w:left="644" w:hanging="644"/>
        <w:spacing w:after="0"/>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25.15 (</w:t>
      </w:r>
      <w:r>
        <w:rPr>
          <w:rFonts w:ascii="Times New Roman" w:cs="Times New Roman" w:eastAsia="Times New Roman" w:hAnsi="Times New Roman"/>
          <w:sz w:val="18"/>
          <w:szCs w:val="18"/>
          <w:i w:val="1"/>
          <w:iCs w:val="1"/>
          <w:color w:val="auto"/>
        </w:rPr>
        <w:t>Relationship with the Lenders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(b)(i) or (b)(ii) above;</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23.9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225" w:lineRule="exact"/>
        <w:rPr>
          <w:sz w:val="20"/>
          <w:szCs w:val="20"/>
          <w:color w:val="auto"/>
        </w:rPr>
      </w:pPr>
    </w:p>
    <w:p>
      <w:pPr>
        <w:jc w:val="both"/>
        <w:ind w:left="1944" w:hanging="648"/>
        <w:spacing w:after="0" w:line="261" w:lineRule="auto"/>
        <w:tabs>
          <w:tab w:leader="none" w:pos="194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79"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9" w:name="page320"/>
    <w:bookmarkEnd w:id="319"/>
    <w:p>
      <w:pPr>
        <w:jc w:val="both"/>
        <w:ind w:left="2600" w:hanging="648"/>
        <w:spacing w:after="0" w:line="261" w:lineRule="auto"/>
        <w:tabs>
          <w:tab w:leader="none" w:pos="260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229" w:lineRule="exact"/>
        <w:rPr>
          <w:sz w:val="20"/>
          <w:szCs w:val="20"/>
          <w:color w:val="auto"/>
        </w:rPr>
      </w:pPr>
    </w:p>
    <w:p>
      <w:pPr>
        <w:ind w:left="1300" w:hanging="644"/>
        <w:spacing w:after="0" w:line="282" w:lineRule="auto"/>
        <w:tabs>
          <w:tab w:leader="none" w:pos="13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Obligors;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this Agreement;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39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Agent and the Arranger;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and names of, the Facility (and any tranches);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of the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ind w:left="1960" w:hanging="656"/>
        <w:spacing w:after="0"/>
        <w:tabs>
          <w:tab w:leader="none" w:pos="1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for the Facility;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 (xiii) above;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represents that none of the information set out in paragraphs (i) to (xv) of paragraph (a) above is, nor will at any time be, unpublished price-sensitive information.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Company and the other Finance Parties of:</w:t>
      </w:r>
    </w:p>
    <w:p>
      <w:pPr>
        <w:spacing w:after="0" w:line="225" w:lineRule="exact"/>
        <w:rPr>
          <w:sz w:val="20"/>
          <w:szCs w:val="20"/>
          <w:color w:val="auto"/>
        </w:rPr>
      </w:pPr>
    </w:p>
    <w:p>
      <w:pPr>
        <w:ind w:left="1300" w:hanging="644"/>
        <w:spacing w:after="0" w:line="282"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numbering service provider appointed by the Agent in respect of this Agreement, the Facility and/or one or more Obligors;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as the case may be, numbers assigned to this Agreement, the Facility and/or one or more Obligors by such numbering service provider.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Clause 35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8"/>
          <w:szCs w:val="18"/>
          <w:b w:val="1"/>
          <w:bCs w:val="1"/>
          <w:color w:val="auto"/>
        </w:rPr>
        <w:t>Inside information</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Company:</w:t>
      </w:r>
    </w:p>
    <w:p>
      <w:pPr>
        <w:spacing w:after="0" w:line="223" w:lineRule="exact"/>
        <w:rPr>
          <w:sz w:val="20"/>
          <w:szCs w:val="20"/>
          <w:color w:val="auto"/>
        </w:rPr>
      </w:pPr>
    </w:p>
    <w:p>
      <w:pPr>
        <w:jc w:val="both"/>
        <w:ind w:left="1300" w:hanging="644"/>
        <w:spacing w:after="0" w:line="267" w:lineRule="auto"/>
        <w:tabs>
          <w:tab w:leader="none" w:pos="13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35.2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35.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1" w:name="page322"/>
    <w:bookmarkEnd w:id="3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35.7</w:t>
      </w:r>
      <w:r>
        <w:rPr>
          <w:sz w:val="20"/>
          <w:szCs w:val="20"/>
          <w:color w:val="auto"/>
        </w:rPr>
        <w:tab/>
      </w:r>
      <w:r>
        <w:rPr>
          <w:rFonts w:ascii="Times New Roman" w:cs="Times New Roman" w:eastAsia="Times New Roman" w:hAnsi="Times New Roman"/>
          <w:sz w:val="18"/>
          <w:szCs w:val="18"/>
          <w:b w:val="1"/>
          <w:bCs w:val="1"/>
          <w:color w:val="auto"/>
        </w:rPr>
        <w:t>Continuing obligations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35 are continuing and, in particular, shall survive and remain binding on each Finance Party for a period of 12 months from the earlier of:</w:t>
      </w:r>
    </w:p>
    <w:p>
      <w:pPr>
        <w:spacing w:after="0" w:line="162" w:lineRule="exact"/>
        <w:rPr>
          <w:sz w:val="20"/>
          <w:szCs w:val="20"/>
          <w:color w:val="auto"/>
        </w:rPr>
      </w:pPr>
    </w:p>
    <w:p>
      <w:pPr>
        <w:ind w:left="1300" w:hanging="644"/>
        <w:spacing w:after="0" w:line="282" w:lineRule="auto"/>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OF FUNDING RATES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7"/>
          <w:szCs w:val="17"/>
          <w:b w:val="1"/>
          <w:bCs w:val="1"/>
          <w:color w:val="auto"/>
        </w:rPr>
        <w:t>Confidentiality and disclosure</w:t>
      </w:r>
    </w:p>
    <w:p>
      <w:pPr>
        <w:spacing w:after="0" w:line="229" w:lineRule="exact"/>
        <w:rPr>
          <w:sz w:val="20"/>
          <w:szCs w:val="20"/>
          <w:color w:val="auto"/>
        </w:rPr>
      </w:pPr>
    </w:p>
    <w:p>
      <w:pPr>
        <w:ind w:left="660" w:right="20" w:hanging="652"/>
        <w:spacing w:after="0" w:line="282" w:lineRule="auto"/>
        <w:tabs>
          <w:tab w:leader="none" w:pos="66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agree to keep each Funding Rate confidential and not to disclose it to anyone, save to the extent permitted by paragraphs (b) and (c) below.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the Borrower pursuant to Clause 8.4 (</w:t>
      </w:r>
      <w:r>
        <w:rPr>
          <w:rFonts w:ascii="Times New Roman" w:cs="Times New Roman" w:eastAsia="Times New Roman" w:hAnsi="Times New Roman"/>
          <w:sz w:val="18"/>
          <w:szCs w:val="18"/>
          <w:i w:val="1"/>
          <w:iCs w:val="1"/>
          <w:color w:val="auto"/>
        </w:rPr>
        <w:t>Notifications</w:t>
      </w:r>
      <w:r>
        <w:rPr>
          <w:rFonts w:ascii="Times New Roman" w:cs="Times New Roman" w:eastAsia="Times New Roman" w:hAnsi="Times New Roman"/>
          <w:sz w:val="18"/>
          <w:szCs w:val="18"/>
          <w:color w:val="auto"/>
        </w:rPr>
        <w:t>); and</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may disclose any Funding Rate to:</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the consent of the relevant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2" w:name="page323"/>
    <w:bookmarkEnd w:id="3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8"/>
          <w:szCs w:val="18"/>
          <w:b w:val="1"/>
          <w:bCs w:val="1"/>
          <w:color w:val="auto"/>
        </w:rPr>
        <w:t>Related obligations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agree (to the extent permitted by law and regulation) to inform the relevant Lender:</w:t>
      </w:r>
    </w:p>
    <w:p>
      <w:pPr>
        <w:spacing w:after="0" w:line="223" w:lineRule="exact"/>
        <w:rPr>
          <w:sz w:val="20"/>
          <w:szCs w:val="20"/>
          <w:color w:val="auto"/>
        </w:rPr>
      </w:pPr>
    </w:p>
    <w:p>
      <w:pPr>
        <w:jc w:val="both"/>
        <w:ind w:left="1300" w:hanging="644"/>
        <w:spacing w:after="0" w:line="267" w:lineRule="auto"/>
        <w:tabs>
          <w:tab w:leader="none" w:pos="130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made pursuant to paragraph (c)(ii) of Clause 36.1 (</w:t>
      </w:r>
      <w:r>
        <w:rPr>
          <w:rFonts w:ascii="Times New Roman" w:cs="Times New Roman" w:eastAsia="Times New Roman" w:hAnsi="Times New Roman"/>
          <w:sz w:val="18"/>
          <w:szCs w:val="18"/>
          <w:i w:val="1"/>
          <w:iCs w:val="1"/>
          <w:color w:val="auto"/>
        </w:rPr>
        <w:t>Confidentiality and disclosure</w:t>
      </w:r>
      <w:r>
        <w:rPr>
          <w:rFonts w:ascii="Times New Roman" w:cs="Times New Roman" w:eastAsia="Times New Roman" w:hAnsi="Times New Roman"/>
          <w:sz w:val="18"/>
          <w:szCs w:val="18"/>
          <w:color w:val="auto"/>
        </w:rPr>
        <w:t>) except where such disclosure is made to any of the persons referred to in that paragraph during the ordinary course of its supervisory or regulatory function;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any information has been disclosed in breach of this Clause 36.</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BAIL-IN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7"/>
          <w:szCs w:val="17"/>
          <w:b w:val="1"/>
          <w:bCs w:val="1"/>
          <w:color w:val="auto"/>
        </w:rPr>
        <w:t>Contractual recognition of bail-in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76" w:lineRule="exact"/>
        <w:rPr>
          <w:sz w:val="20"/>
          <w:szCs w:val="20"/>
          <w:color w:val="auto"/>
        </w:rPr>
      </w:pPr>
    </w:p>
    <w:p>
      <w:pPr>
        <w:ind w:left="1300" w:hanging="644"/>
        <w:spacing w:after="0"/>
        <w:tabs>
          <w:tab w:leader="none" w:pos="13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b w:val="1"/>
          <w:bCs w:val="1"/>
          <w:color w:val="auto"/>
        </w:rPr>
        <w:t>Bail-in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Clause 37:</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55 BRRD</w:t>
      </w:r>
      <w:r>
        <w:rPr>
          <w:rFonts w:ascii="Times New Roman" w:cs="Times New Roman" w:eastAsia="Times New Roman" w:hAnsi="Times New Roman"/>
          <w:sz w:val="18"/>
          <w:szCs w:val="18"/>
          <w:color w:val="auto"/>
        </w:rPr>
        <w:t>” means Article 55 of Directive 2014/59/EU establishing a framework for the recovery and resolution of credit institutions and investment firms.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3" w:name="page324"/>
    <w:bookmarkEnd w:id="3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line="282"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Legislation</w:t>
      </w:r>
      <w:r>
        <w:rPr>
          <w:rFonts w:ascii="Times New Roman" w:cs="Times New Roman" w:eastAsia="Times New Roman" w:hAnsi="Times New Roman"/>
          <w:sz w:val="18"/>
          <w:szCs w:val="18"/>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line="282" w:lineRule="auto"/>
        <w:tabs>
          <w:tab w:leader="none" w:pos="13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p>
      <w:pPr>
        <w:spacing w:after="0" w:line="225" w:lineRule="exact"/>
        <w:rPr>
          <w:sz w:val="20"/>
          <w:szCs w:val="20"/>
          <w:color w:val="auto"/>
        </w:rPr>
      </w:pPr>
    </w:p>
    <w:p>
      <w:pPr>
        <w:ind w:left="660" w:hanging="652"/>
        <w:spacing w:after="0"/>
        <w:tabs>
          <w:tab w:leader="none" w:pos="66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7"/>
          <w:szCs w:val="17"/>
          <w:b w:val="1"/>
          <w:bCs w:val="1"/>
          <w:color w:val="auto"/>
        </w:rPr>
        <w:t>Jurisdiction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prejudice to any other mode of service allowed under any relevant law, each Obligor (other than an Obligor incorporated in England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Wales):</w:t>
      </w:r>
    </w:p>
    <w:p>
      <w:pPr>
        <w:spacing w:after="0" w:line="207" w:lineRule="exact"/>
        <w:rPr>
          <w:sz w:val="20"/>
          <w:szCs w:val="20"/>
          <w:color w:val="auto"/>
        </w:rPr>
      </w:pPr>
    </w:p>
    <w:p>
      <w:pPr>
        <w:ind w:left="1300" w:hanging="644"/>
        <w:spacing w:after="0" w:line="282" w:lineRule="auto"/>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Etoro (UK) Limited as its agent for service of process in relation to any proceedings before the English courts in connection with any Finance Document;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 process agent to notify the relevant Obligor of the process will not invalidate the proceedings concerned.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riginal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enders</w:t>
            </w:r>
          </w:p>
        </w:tc>
        <w:tc>
          <w:tcPr>
            <w:tcW w:w="0" w:type="dxa"/>
            <w:vAlign w:val="bottom"/>
          </w:tcPr>
          <w:p>
            <w:pPr>
              <w:spacing w:after="0"/>
              <w:rPr>
                <w:sz w:val="1"/>
                <w:szCs w:val="1"/>
                <w:color w:val="auto"/>
              </w:rPr>
            </w:pPr>
          </w:p>
        </w:tc>
      </w:tr>
      <w:tr>
        <w:trPr>
          <w:trHeight w:val="453"/>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Original Lender</w:t>
            </w: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0" w:type="dxa"/>
            <w:vAlign w:val="bottom"/>
          </w:tcPr>
          <w:p>
            <w:pPr>
              <w:spacing w:after="0"/>
              <w:rPr>
                <w:sz w:val="1"/>
                <w:szCs w:val="1"/>
                <w:color w:val="auto"/>
              </w:rPr>
            </w:pP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Borders>
              <w:bottom w:val="single" w:sz="8" w:color="CCEEFF"/>
            </w:tcBorders>
            <w:gridSpan w:val="2"/>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U.S.$ 250,000,000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jc w:val="center"/>
              <w:ind w:right="159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conditions precedent to initial utilisation</w:t>
      </w:r>
    </w:p>
    <w:p>
      <w:pPr>
        <w:spacing w:after="0" w:line="234" w:lineRule="exact"/>
        <w:rPr>
          <w:sz w:val="20"/>
          <w:szCs w:val="20"/>
          <w:color w:val="auto"/>
        </w:rPr>
      </w:pPr>
    </w:p>
    <w:p>
      <w:pPr>
        <w:ind w:left="660" w:hanging="652"/>
        <w:spacing w:after="0"/>
        <w:tabs>
          <w:tab w:leader="none" w:pos="66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Original Obligors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Original Guarantor and a copy of the BVI Corporate Records of the Original Borrower.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each Original Obligor:</w:t>
      </w:r>
    </w:p>
    <w:p>
      <w:pPr>
        <w:spacing w:after="0" w:line="225" w:lineRule="exact"/>
        <w:rPr>
          <w:sz w:val="20"/>
          <w:szCs w:val="20"/>
          <w:color w:val="auto"/>
        </w:rPr>
      </w:pPr>
    </w:p>
    <w:p>
      <w:pPr>
        <w:ind w:left="1300" w:right="20" w:hanging="644"/>
        <w:spacing w:after="0" w:line="282" w:lineRule="auto"/>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Finance Documents to which it is a party and resolving that it execute the Finance Documents to which it is a party;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Finance Documents to which it is a party on its behalf;</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Original Obligor incorporated in the State of Israel, confirming that, pursuant to sections 256(d) and 282 of the Israeli Companies Law, all approvals as required under the Israeli Companies Law and its constitutional documents have been duly obtained for the transactions contemplated by the Finance Documents to which it is a party.</w:t>
      </w:r>
    </w:p>
    <w:p>
      <w:pPr>
        <w:spacing w:after="0" w:line="176" w:lineRule="exact"/>
        <w:rPr>
          <w:sz w:val="20"/>
          <w:szCs w:val="20"/>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(b) above.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signed by all the holders of the issued shares in each Original Guarantor (other than the Company), approving the terms of, and the transactions contemplated by, the Finance Documents to which the Original Guarantor is a party.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Original Obligor (signed by a director) confirming that borrowing or guaranteeing, as appropriate, the Total Commitments would not cause any borrowing, guaranteeing or similar limit binding on any Original Obligor to be exceeded.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the relevant Original Obligor certifying that each copy document relating to it specified in this Part I of Schedule 2 is correct, complete and in full force and effect as at a date no earlier than the date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(or certificate of the Registered Agent’s Certificate) issued by the Registered Agent of the Original Borrower confirming (amongst other customary matters):</w:t>
      </w:r>
    </w:p>
    <w:p>
      <w:pPr>
        <w:spacing w:after="0" w:line="162" w:lineRule="exact"/>
        <w:rPr>
          <w:sz w:val="20"/>
          <w:szCs w:val="20"/>
          <w:color w:val="auto"/>
        </w:rPr>
      </w:pPr>
    </w:p>
    <w:p>
      <w:pPr>
        <w:ind w:left="1300" w:hanging="644"/>
        <w:spacing w:after="0"/>
        <w:tabs>
          <w:tab w:leader="none" w:pos="13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person entered in the Register of Members as the holder of any issued shares in the Original Borrower;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27" w:name="page328"/>
    <w:bookmarkEnd w:id="327"/>
    <w:p>
      <w:pPr>
        <w:ind w:left="1292" w:hanging="644"/>
        <w:spacing w:after="0"/>
        <w:tabs>
          <w:tab w:leader="none" w:pos="1292"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person entered in the Register of Directors as a director of the Original Borrower; and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paid all fees, annual fees and penalties due and payable by the Original Borrower to the BVI Registrar.</w:t>
      </w:r>
    </w:p>
    <w:p>
      <w:pPr>
        <w:spacing w:after="0" w:line="221" w:lineRule="exact"/>
        <w:rPr>
          <w:sz w:val="20"/>
          <w:szCs w:val="20"/>
          <w:color w:val="auto"/>
        </w:rPr>
      </w:pPr>
    </w:p>
    <w:p>
      <w:pPr>
        <w:ind w:left="652" w:hanging="652"/>
        <w:spacing w:after="0"/>
        <w:tabs>
          <w:tab w:leader="none" w:pos="652"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opinions</w:t>
      </w:r>
    </w:p>
    <w:p>
      <w:pPr>
        <w:spacing w:after="0" w:line="22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Linklaters LLP, legal advisers to the Arranger and the Agent in England, substantially in the form distributed to the Original Lenders prior to signing this Agreement.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Walkers, legal advisers to the Arranger and the Agent in the British Virgin Islands, substantially in the form distributed to the Original Lenders prior to signing this Agreement.</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Herzog Fox &amp; Neeman, legal advisers to the Arranger and the Agent in Israel, substantially in the form distributed to the Original Lenders prior to signing this Agreement.</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22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Group Structure Chart.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initial public offering in respect of the shares of the Company has occurred.</w:t>
      </w:r>
    </w:p>
    <w:p>
      <w:pPr>
        <w:spacing w:after="0" w:line="22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any process agent referred to in Clause 40.2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if not an Original Obligor, has accepted its appointment.</w:t>
      </w:r>
    </w:p>
    <w:p>
      <w:pPr>
        <w:spacing w:after="0" w:line="227"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(if it has notified the Company accordingly) in connection with the entry into and performance of the transactions contemplated by any Finance Document or for the validity and enforceability of any Finance Document.</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Financial Statements in respect of the Company.</w:t>
      </w:r>
    </w:p>
    <w:p>
      <w:pPr>
        <w:spacing w:after="0" w:line="223" w:lineRule="exact"/>
        <w:rPr>
          <w:rFonts w:ascii="Times New Roman" w:cs="Times New Roman" w:eastAsia="Times New Roman" w:hAnsi="Times New Roman"/>
          <w:sz w:val="18"/>
          <w:szCs w:val="18"/>
          <w:color w:val="auto"/>
        </w:rPr>
      </w:pPr>
    </w:p>
    <w:p>
      <w:pPr>
        <w:ind w:left="1292" w:right="20" w:hanging="644"/>
        <w:spacing w:after="0" w:line="284" w:lineRule="auto"/>
        <w:tabs>
          <w:tab w:leader="none" w:pos="1292"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fees, costs and expenses then due from the Obligors pursuant to Clause 11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and Clause 16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have been paid or will be paid by the first Utilisation Date.</w:t>
      </w:r>
    </w:p>
    <w:p>
      <w:pPr>
        <w:spacing w:after="0" w:line="3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conditions precedent required to be</w:t>
      </w:r>
    </w:p>
    <w:p>
      <w:pPr>
        <w:spacing w:after="0" w:line="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delivered by an additional obligor</w:t>
      </w:r>
    </w:p>
    <w:p>
      <w:pPr>
        <w:spacing w:after="0" w:line="238" w:lineRule="exact"/>
        <w:rPr>
          <w:sz w:val="20"/>
          <w:szCs w:val="20"/>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Accession Letter, duly executed by the Additional Obligor and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Additional Obligor.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the Additional Obligor: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and the transactions contemplated by, the Accession Letter and the Finance Documents and resolving that it execute the Accession Letter;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Accession Letter on its behalf;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despatch all other documents and notices (including, in relation to an Additional Borrower, any Utilisation Request) to be signed and/or despatched by it under or in connection with the Finance Documents;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Additional Obligor incorporated in the State of Israel, confirming that, pursuant to sections 256(d) and 282 of the Israeli Companies Law, all approvals as required under the Israeli Companies Law and its constitutional documents have been duly obtained for the transactions contemplated by the Finance Documents to which it is a party.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3 above.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Guarantor is incorporated in England and Wales, or if so required by the Agent, a copy of a resolution signed by all the holders of the issued shares of the Additional Guarantor, approving the terms of, and the transactions contemplated by, the Finance Documents to which the Additional Guarantor is a party.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Additional Obligor (signed by a director) confirming that borrowing or guaranteeing, as appropriate, the Total Commitments would not cause any borrowing, guaranteeing or similar limit binding on it to be exceeded.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the Additional Obligor certifying that each copy document listed in this Part II of Schedule 2 is correct, complete and in full force and effect as at a date no earlier than the date of the Accession Letter.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considers to be necessary or desirable (in each case acting reasonably) in connection with the entry into and performance of the transactions contemplated by the Accession Letter or for the validity and enforceability of any Finance Document.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available, the latest audited financial statements of the Additional Obligor.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Linklaters LLP, legal advisers to the Arranger and the Agent in England.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Obligor is incorporated in a jurisdiction other than England and Wales, a legal opinion of the legal advisers to the Arranger and the Agent in the jurisdiction in which the Additional Obligor is incorporated.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Additional Obligor is incorporated in a jurisdiction other than England and Wales, evidence that the process agent specified in Clause 40.2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if not an Obligor, has accepted its appointment in relation to the proposed Additional Obligor.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3</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4</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5</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6</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7</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4" w:name="page335"/>
    <w:bookmarkEnd w:id="33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8</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9</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8"/>
          <w:szCs w:val="18"/>
          <w:b w:val="1"/>
          <w:bCs w:val="1"/>
          <w:color w:val="auto"/>
        </w:rPr>
        <w:t>SCHEDULE 10</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reference rate terms</w:t>
      </w:r>
    </w:p>
    <w:p>
      <w:pPr>
        <w:spacing w:after="0" w:line="234"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Currency:</w:t>
      </w:r>
      <w:r>
        <w:rPr>
          <w:sz w:val="20"/>
          <w:szCs w:val="20"/>
          <w:color w:val="auto"/>
        </w:rPr>
        <w:tab/>
      </w:r>
      <w:r>
        <w:rPr>
          <w:rFonts w:ascii="Times New Roman" w:cs="Times New Roman" w:eastAsia="Times New Roman" w:hAnsi="Times New Roman"/>
          <w:sz w:val="18"/>
          <w:szCs w:val="18"/>
          <w:color w:val="auto"/>
        </w:rPr>
        <w:t>U.S.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Term Fallback 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Central Bank Rate will apply as a fallback.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funds as a fallback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funds will not apply as a fallback.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5"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Additional Business Days:</w:t>
      </w:r>
      <w:r>
        <w:rPr>
          <w:sz w:val="20"/>
          <w:szCs w:val="20"/>
          <w:color w:val="auto"/>
        </w:rPr>
        <w:tab/>
      </w:r>
      <w:r>
        <w:rPr>
          <w:rFonts w:ascii="Times New Roman" w:cs="Times New Roman" w:eastAsia="Times New Roman" w:hAnsi="Times New Roman"/>
          <w:sz w:val="18"/>
          <w:szCs w:val="18"/>
          <w:color w:val="auto"/>
        </w:rPr>
        <w:t>Any day other than:</w:t>
      </w:r>
    </w:p>
    <w:p>
      <w:pPr>
        <w:spacing w:after="0" w:line="229" w:lineRule="exact"/>
        <w:rPr>
          <w:sz w:val="20"/>
          <w:szCs w:val="20"/>
          <w:color w:val="auto"/>
        </w:rPr>
      </w:pPr>
    </w:p>
    <w:p>
      <w:pPr>
        <w:ind w:left="3360" w:hanging="639"/>
        <w:spacing w:after="0"/>
        <w:tabs>
          <w:tab w:leader="none" w:pos="336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or a Sunday; and</w:t>
      </w:r>
    </w:p>
    <w:p>
      <w:pPr>
        <w:spacing w:after="0" w:line="225" w:lineRule="exact"/>
        <w:rPr>
          <w:rFonts w:ascii="Times New Roman" w:cs="Times New Roman" w:eastAsia="Times New Roman" w:hAnsi="Times New Roman"/>
          <w:sz w:val="18"/>
          <w:szCs w:val="18"/>
          <w:color w:val="auto"/>
        </w:rPr>
      </w:pPr>
    </w:p>
    <w:p>
      <w:pPr>
        <w:jc w:val="both"/>
        <w:ind w:left="3360" w:hanging="639"/>
        <w:spacing w:after="0" w:line="266" w:lineRule="auto"/>
        <w:tabs>
          <w:tab w:leader="none" w:pos="336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7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Break Costs:</w:t>
      </w:r>
      <w:r>
        <w:rPr>
          <w:sz w:val="20"/>
          <w:szCs w:val="20"/>
          <w:color w:val="auto"/>
        </w:rPr>
        <w:tab/>
      </w:r>
      <w:r>
        <w:rPr>
          <w:rFonts w:ascii="Times New Roman" w:cs="Times New Roman" w:eastAsia="Times New Roman" w:hAnsi="Times New Roman"/>
          <w:sz w:val="17"/>
          <w:szCs w:val="17"/>
          <w:color w:val="auto"/>
        </w:rPr>
        <w:t>The amount (if any) by which:</w:t>
      </w:r>
    </w:p>
    <w:p>
      <w:pPr>
        <w:spacing w:after="0" w:line="229" w:lineRule="exact"/>
        <w:rPr>
          <w:sz w:val="20"/>
          <w:szCs w:val="20"/>
          <w:color w:val="auto"/>
        </w:rPr>
      </w:pPr>
    </w:p>
    <w:p>
      <w:pPr>
        <w:jc w:val="both"/>
        <w:ind w:left="3360" w:hanging="639"/>
        <w:spacing w:after="0" w:line="261" w:lineRule="auto"/>
        <w:tabs>
          <w:tab w:leader="none" w:pos="336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(exceeding the Margin)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spacing w:after="0" w:line="1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exceeds:</w:t>
      </w:r>
    </w:p>
    <w:p>
      <w:pPr>
        <w:spacing w:after="0" w:line="225" w:lineRule="exact"/>
        <w:rPr>
          <w:sz w:val="20"/>
          <w:szCs w:val="20"/>
          <w:color w:val="auto"/>
        </w:rPr>
      </w:pPr>
    </w:p>
    <w:p>
      <w:pPr>
        <w:jc w:val="both"/>
        <w:ind w:left="3360" w:hanging="639"/>
        <w:spacing w:after="0" w:line="266" w:lineRule="auto"/>
        <w:tabs>
          <w:tab w:leader="none" w:pos="336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 Conventions</w:t>
            </w:r>
          </w:p>
        </w:tc>
        <w:tc>
          <w:tcPr>
            <w:tcW w:w="68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 of “Month” and</w:t>
            </w:r>
          </w:p>
        </w:tc>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If any period is expressed to accrue by reference to a Month or any number of Months then, in respect of the</w:t>
            </w: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 9.2 (</w:t>
            </w:r>
            <w:r>
              <w:rPr>
                <w:rFonts w:ascii="Times New Roman" w:cs="Times New Roman" w:eastAsia="Times New Roman" w:hAnsi="Times New Roman"/>
                <w:sz w:val="18"/>
                <w:szCs w:val="18"/>
                <w:b w:val="1"/>
                <w:bCs w:val="1"/>
                <w:i w:val="1"/>
                <w:iCs w:val="1"/>
                <w:color w:val="auto"/>
              </w:rPr>
              <w:t>Non-Business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p>
        </w:tc>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last Month of that period:</w:t>
            </w:r>
          </w:p>
        </w:tc>
      </w:tr>
      <w:tr>
        <w:trPr>
          <w:trHeight w:val="414"/>
        </w:trPr>
        <w:tc>
          <w:tcPr>
            <w:tcW w:w="31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paragraph (ii) below, if the numerically corresponding day is not a Business Day, that</w:t>
            </w:r>
          </w:p>
        </w:tc>
      </w:tr>
      <w:tr>
        <w:trPr>
          <w:trHeight w:val="216"/>
        </w:trPr>
        <w:tc>
          <w:tcPr>
            <w:tcW w:w="3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shall end on the next Business Day in that calendar month in which that period is to end if</w:t>
            </w:r>
          </w:p>
        </w:tc>
      </w:tr>
      <w:tr>
        <w:trPr>
          <w:trHeight w:val="234"/>
        </w:trPr>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there is one, or if there is not, on the immediately preceding Business Day;</w:t>
            </w:r>
          </w:p>
        </w:tc>
      </w:tr>
      <w:tr>
        <w:trPr>
          <w:trHeight w:val="414"/>
        </w:trPr>
        <w:tc>
          <w:tcPr>
            <w:tcW w:w="31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if there is no numerically corresponding day in the calendar month in which that period is to end,</w:t>
            </w:r>
          </w:p>
        </w:tc>
      </w:tr>
      <w:tr>
        <w:trPr>
          <w:trHeight w:val="234"/>
        </w:trPr>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that period shall end on the last Business Day in that calendar month; and</w:t>
            </w:r>
          </w:p>
        </w:tc>
      </w:tr>
      <w:tr>
        <w:trPr>
          <w:trHeight w:val="414"/>
        </w:trPr>
        <w:tc>
          <w:tcPr>
            <w:tcW w:w="31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(iii)</w:t>
            </w: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if an Interest Period begins on the last Business Day of a calendar month, that Interest Period shall</w:t>
            </w:r>
          </w:p>
        </w:tc>
      </w:tr>
      <w:tr>
        <w:trPr>
          <w:trHeight w:val="234"/>
        </w:trPr>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 on the last Business Day in the calendar month in which that Interest Period is to end.</w:t>
            </w:r>
          </w:p>
        </w:tc>
      </w:tr>
      <w:tr>
        <w:trPr>
          <w:trHeight w:val="655"/>
        </w:trPr>
        <w:tc>
          <w:tcPr>
            <w:tcW w:w="3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121</w:t>
            </w:r>
          </w:p>
        </w:tc>
      </w:tr>
    </w:tbl>
    <w:p>
      <w:pPr>
        <w:sectPr>
          <w:pgSz w:w="11900" w:h="16838" w:orient="portrait"/>
          <w:cols w:equalWidth="0" w:num="1">
            <w:col w:w="11240"/>
          </w:cols>
          <w:pgMar w:left="320" w:top="900" w:right="339" w:bottom="1440" w:gutter="0" w:footer="0" w:header="0"/>
        </w:sectPr>
      </w:pPr>
    </w:p>
    <w:bookmarkStart w:id="338" w:name="page339"/>
    <w:bookmarkEnd w:id="338"/>
    <w:p>
      <w:pPr>
        <w:jc w:val="both"/>
        <w:ind w:left="3360" w:hanging="639"/>
        <w:spacing w:after="0" w:line="266" w:lineRule="auto"/>
        <w:tabs>
          <w:tab w:leader="none" w:pos="33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Central Bank Rate:</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The short-term interest rate target set by the US Federal Open Market Committee as published by the Federal</w:t>
            </w:r>
          </w:p>
        </w:tc>
      </w:tr>
      <w:tr>
        <w:trPr>
          <w:trHeight w:val="234"/>
        </w:trPr>
        <w:tc>
          <w:tcPr>
            <w:tcW w:w="2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Reserve Bank of New York from time to time; or</w:t>
            </w:r>
          </w:p>
        </w:tc>
      </w:tr>
      <w:tr>
        <w:trPr>
          <w:trHeight w:val="432"/>
        </w:trPr>
        <w:tc>
          <w:tcPr>
            <w:tcW w:w="26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if that target is not a single figure, the arithmetic mean of:</w:t>
            </w:r>
          </w:p>
        </w:tc>
      </w:tr>
      <w:tr>
        <w:trPr>
          <w:trHeight w:val="414"/>
        </w:trPr>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upper bound of the short-term interest rate target range set by the US Federal Open Market</w:t>
            </w:r>
          </w:p>
        </w:tc>
      </w:tr>
      <w:tr>
        <w:trPr>
          <w:trHeight w:val="234"/>
        </w:trPr>
        <w:tc>
          <w:tcPr>
            <w:tcW w:w="2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Committee and published by the Federal Reserve Bank of New York; and</w:t>
            </w:r>
          </w:p>
        </w:tc>
      </w:tr>
      <w:tr>
        <w:trPr>
          <w:trHeight w:val="432"/>
        </w:trPr>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lower bound of that target range.</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Central Bank Rate Adjustment:</w:t>
            </w: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 relation to the Central Bank Rate prevailing at close of business on any Additional Business Day, the 20 per cent.</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trimmed arithmetic mean (calculated by the Agent, or by any other Finance Party which agrees to do so in place of</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Agent) of the Central Bank Rate Spreads for the five most immediately preceding Additional Business Days for</w:t>
            </w:r>
          </w:p>
        </w:tc>
      </w:tr>
      <w:tr>
        <w:trPr>
          <w:trHeight w:val="234"/>
        </w:trPr>
        <w:tc>
          <w:tcPr>
            <w:tcW w:w="260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which the Primary Term Rate for a period equal in length to the applicable Interest Period is available.</w:t>
            </w: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this purpose, “</w:t>
            </w:r>
            <w:r>
              <w:rPr>
                <w:rFonts w:ascii="Times New Roman" w:cs="Times New Roman" w:eastAsia="Times New Roman" w:hAnsi="Times New Roman"/>
                <w:sz w:val="18"/>
                <w:szCs w:val="18"/>
                <w:b w:val="1"/>
                <w:bCs w:val="1"/>
                <w:color w:val="auto"/>
              </w:rPr>
              <w:t>Central Bank Rate Spread</w:t>
            </w:r>
            <w:r>
              <w:rPr>
                <w:rFonts w:ascii="Times New Roman" w:cs="Times New Roman" w:eastAsia="Times New Roman" w:hAnsi="Times New Roman"/>
                <w:sz w:val="18"/>
                <w:szCs w:val="18"/>
                <w:color w:val="auto"/>
              </w:rPr>
              <w:t>” means, in relation to any Additional Business Day, the difference</w:t>
            </w:r>
          </w:p>
        </w:tc>
      </w:tr>
      <w:tr>
        <w:trPr>
          <w:trHeight w:val="216"/>
        </w:trPr>
        <w:tc>
          <w:tcPr>
            <w:tcW w:w="2600" w:type="dxa"/>
            <w:vAlign w:val="bottom"/>
          </w:tcPr>
          <w:p>
            <w:pPr>
              <w:spacing w:after="0"/>
              <w:rPr>
                <w:sz w:val="18"/>
                <w:szCs w:val="18"/>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(expressed as a percentage rate per annum) calculated by the Agent (or by any other Finance Party which agrees to do</w:t>
            </w:r>
          </w:p>
        </w:tc>
      </w:tr>
      <w:tr>
        <w:trPr>
          <w:trHeight w:val="234"/>
        </w:trPr>
        <w:tc>
          <w:tcPr>
            <w:tcW w:w="260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 in place of the Agent) between:</w:t>
            </w:r>
          </w:p>
        </w:tc>
      </w:tr>
      <w:tr>
        <w:trPr>
          <w:trHeight w:val="414"/>
        </w:trPr>
        <w:tc>
          <w:tcPr>
            <w:tcW w:w="26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Primary Term Rate for a period equal in length to the applicable Interest Period for that Additional</w:t>
            </w:r>
          </w:p>
        </w:tc>
      </w:tr>
      <w:tr>
        <w:trPr>
          <w:trHeight w:val="234"/>
        </w:trPr>
        <w:tc>
          <w:tcPr>
            <w:tcW w:w="2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Day; and</w:t>
            </w:r>
          </w:p>
        </w:tc>
      </w:tr>
      <w:tr>
        <w:trPr>
          <w:trHeight w:val="432"/>
        </w:trPr>
        <w:tc>
          <w:tcPr>
            <w:tcW w:w="26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Central Bank Rate prevailing at close of business on that Additional Business Day.</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Fallback Interest Period:</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One Month.</w:t>
            </w:r>
          </w:p>
        </w:tc>
        <w:tc>
          <w:tcPr>
            <w:tcW w:w="7440" w:type="dxa"/>
            <w:vAlign w:val="bottom"/>
          </w:tcPr>
          <w:p>
            <w:pPr>
              <w:spacing w:after="0"/>
              <w:rPr>
                <w:sz w:val="24"/>
                <w:szCs w:val="24"/>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 Disruption Rate:</w:t>
            </w: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Term Reference Rate.</w:t>
            </w: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Term Rate:</w:t>
            </w: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The Term SOFR reference rate administered by CME Group Benchmark Administration Limited (or any other person</w:t>
            </w:r>
          </w:p>
        </w:tc>
      </w:tr>
      <w:tr>
        <w:trPr>
          <w:trHeight w:val="234"/>
        </w:trPr>
        <w:tc>
          <w:tcPr>
            <w:tcW w:w="260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which takes over the administration of that rate) for the relevant period published (before any correction, recalculation</w:t>
            </w:r>
          </w:p>
        </w:tc>
      </w:tr>
    </w:tbl>
    <w:p>
      <w:pPr>
        <w:ind w:left="2720"/>
        <w:spacing w:after="0" w:line="260" w:lineRule="auto"/>
        <w:rPr>
          <w:sz w:val="20"/>
          <w:szCs w:val="20"/>
          <w:color w:val="auto"/>
        </w:rPr>
      </w:pPr>
      <w:r>
        <w:rPr>
          <w:rFonts w:ascii="Times New Roman" w:cs="Times New Roman" w:eastAsia="Times New Roman" w:hAnsi="Times New Roman"/>
          <w:sz w:val="18"/>
          <w:szCs w:val="18"/>
          <w:color w:val="auto"/>
        </w:rPr>
        <w:t>or republication by the administrator) by CME Group Benchmark Administration Limited (or any other person which takes over the publication of that rate).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Quotation Day:</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paragraph (b) below, two Additional Business Days before the first day of the relevant Interest</w:t>
            </w:r>
          </w:p>
        </w:tc>
      </w:tr>
      <w:tr>
        <w:trPr>
          <w:trHeight w:val="216"/>
        </w:trPr>
        <w:tc>
          <w:tcPr>
            <w:tcW w:w="2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(unless market practice differs in the relevant syndicated loan market, in which case the Quotation</w:t>
            </w:r>
          </w:p>
        </w:tc>
      </w:tr>
      <w:tr>
        <w:trPr>
          <w:trHeight w:val="216"/>
        </w:trPr>
        <w:tc>
          <w:tcPr>
            <w:tcW w:w="2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Day will be determined by the Agent in accordance with that market practice (and if quotations would</w:t>
            </w:r>
          </w:p>
        </w:tc>
      </w:tr>
      <w:tr>
        <w:trPr>
          <w:trHeight w:val="234"/>
        </w:trPr>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normally be given on more than one day, the Quotation Day will be the last of those days)).</w:t>
            </w:r>
          </w:p>
        </w:tc>
      </w:tr>
      <w:tr>
        <w:trPr>
          <w:trHeight w:val="414"/>
        </w:trPr>
        <w:tc>
          <w:tcPr>
            <w:tcW w:w="266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If the Term Reference Rate is, or is based on, the Central Bank Rate, two Additional Business Days before</w:t>
            </w:r>
          </w:p>
        </w:tc>
      </w:tr>
      <w:tr>
        <w:trPr>
          <w:trHeight w:val="234"/>
        </w:trPr>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first day of the relevant Interest Period.</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Quotation Time:</w:t>
            </w: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Quotation Day.</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Relevant Market:</w:t>
            </w: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market for overnight cash borrowing collateralised by US Government securities.</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Day:</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 to paragraph (b) below, the Quotation Day.</w:t>
            </w:r>
          </w:p>
        </w:tc>
      </w:tr>
      <w:tr>
        <w:trPr>
          <w:trHeight w:val="414"/>
        </w:trPr>
        <w:tc>
          <w:tcPr>
            <w:tcW w:w="266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If the Term Reference Rate is, or is based on the Central Bank Rate, the date falling two Business Days after</w:t>
            </w:r>
          </w:p>
        </w:tc>
      </w:tr>
      <w:tr>
        <w:trPr>
          <w:trHeight w:val="234"/>
        </w:trPr>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Quotation Day.</w:t>
            </w:r>
          </w:p>
        </w:tc>
      </w:tr>
      <w:tr>
        <w:trPr>
          <w:trHeight w:val="41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Published Rate</w:t>
            </w:r>
          </w:p>
        </w:tc>
        <w:tc>
          <w:tcPr>
            <w:tcW w:w="500" w:type="dxa"/>
            <w:vAlign w:val="bottom"/>
          </w:tcPr>
          <w:p>
            <w:pPr>
              <w:spacing w:after="0"/>
              <w:rPr>
                <w:sz w:val="24"/>
                <w:szCs w:val="24"/>
                <w:color w:val="auto"/>
              </w:rPr>
            </w:pPr>
          </w:p>
        </w:tc>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Primary Term Rate: 30 days.</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Contingency Period:</w:t>
            </w:r>
          </w:p>
        </w:tc>
        <w:tc>
          <w:tcPr>
            <w:tcW w:w="500" w:type="dxa"/>
            <w:vAlign w:val="bottom"/>
          </w:tcPr>
          <w:p>
            <w:pPr>
              <w:spacing w:after="0"/>
              <w:rPr>
                <w:sz w:val="20"/>
                <w:szCs w:val="20"/>
                <w:color w:val="auto"/>
              </w:rPr>
            </w:pPr>
          </w:p>
        </w:tc>
        <w:tc>
          <w:tcPr>
            <w:tcW w:w="8080" w:type="dxa"/>
            <w:vAlign w:val="bottom"/>
          </w:tcPr>
          <w:p>
            <w:pPr>
              <w:spacing w:after="0"/>
              <w:rPr>
                <w:sz w:val="20"/>
                <w:szCs w:val="20"/>
                <w:color w:val="auto"/>
              </w:rPr>
            </w:pP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Periods</w:t>
            </w:r>
          </w:p>
        </w:tc>
        <w:tc>
          <w:tcPr>
            <w:tcW w:w="500" w:type="dxa"/>
            <w:vAlign w:val="bottom"/>
          </w:tcPr>
          <w:p>
            <w:pPr>
              <w:spacing w:after="0"/>
              <w:rPr>
                <w:sz w:val="24"/>
                <w:szCs w:val="24"/>
                <w:color w:val="auto"/>
              </w:rPr>
            </w:pPr>
          </w:p>
        </w:tc>
        <w:tc>
          <w:tcPr>
            <w:tcW w:w="8080" w:type="dxa"/>
            <w:vAlign w:val="bottom"/>
          </w:tcPr>
          <w:p>
            <w:pPr>
              <w:spacing w:after="0"/>
              <w:rPr>
                <w:sz w:val="24"/>
                <w:szCs w:val="24"/>
                <w:color w:val="auto"/>
              </w:rPr>
            </w:pPr>
          </w:p>
        </w:tc>
      </w:tr>
      <w:tr>
        <w:trPr>
          <w:trHeight w:val="41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Periods capable of selection as Interest</w:t>
            </w:r>
          </w:p>
        </w:tc>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and three Months.</w:t>
            </w:r>
          </w:p>
        </w:tc>
      </w:tr>
      <w:tr>
        <w:trPr>
          <w:trHeight w:val="21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Periods (paragraph (a) of Clause 9.1</w:t>
            </w:r>
          </w:p>
        </w:tc>
        <w:tc>
          <w:tcPr>
            <w:tcW w:w="500" w:type="dxa"/>
            <w:vAlign w:val="bottom"/>
          </w:tcPr>
          <w:p>
            <w:pPr>
              <w:spacing w:after="0"/>
              <w:rPr>
                <w:sz w:val="18"/>
                <w:szCs w:val="18"/>
                <w:color w:val="auto"/>
              </w:rPr>
            </w:pPr>
          </w:p>
        </w:tc>
        <w:tc>
          <w:tcPr>
            <w:tcW w:w="8080" w:type="dxa"/>
            <w:vAlign w:val="bottom"/>
          </w:tcPr>
          <w:p>
            <w:pPr>
              <w:spacing w:after="0"/>
              <w:rPr>
                <w:sz w:val="18"/>
                <w:szCs w:val="18"/>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Selection of Interest Periods</w:t>
            </w: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08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Length of Interest Period in absence of selection (paragraph (b) of Clause 9.1 (</w:t>
      </w:r>
      <w:r>
        <w:rPr>
          <w:rFonts w:ascii="Times New Roman" w:cs="Times New Roman" w:eastAsia="Times New Roman" w:hAnsi="Times New Roman"/>
          <w:sz w:val="18"/>
          <w:szCs w:val="18"/>
          <w:i w:val="1"/>
          <w:iCs w:val="1"/>
          <w:color w:val="auto"/>
        </w:rPr>
        <w:t>Selection of Interest Periods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Times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Deadline for Lenders to report market disruption in accordance with Clause 10.2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Close of business in London on the Reporting Day for the relevant Loan.</w:t>
      </w:r>
    </w:p>
    <w:p>
      <w:pPr>
        <w:spacing w:after="0" w:line="668" w:lineRule="exact"/>
        <w:rPr>
          <w:sz w:val="20"/>
          <w:szCs w:val="20"/>
          <w:color w:val="auto"/>
        </w:rPr>
      </w:pPr>
    </w:p>
    <w:p>
      <w:pPr>
        <w:sectPr>
          <w:pgSz w:w="11900" w:h="16838" w:orient="portrait"/>
          <w:cols w:equalWidth="0" w:num="2">
            <w:col w:w="3040" w:space="460"/>
            <w:col w:w="7740"/>
          </w:cols>
          <w:pgMar w:left="320" w:top="900" w:right="33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Deadline for Lenders to report their cost of funds in accordance with Clause 10.3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Close of business on the date falling two Business Days after the Reporting Day for the relevant Loan (or, if earlier, on the date falling two Business Days before the date on which interest is due to be paid in respect of the Interest Period for that Loan).</w:t>
      </w:r>
    </w:p>
    <w:p>
      <w:pPr>
        <w:spacing w:after="0" w:line="200" w:lineRule="exact"/>
        <w:rPr>
          <w:sz w:val="20"/>
          <w:szCs w:val="20"/>
          <w:color w:val="auto"/>
        </w:rPr>
      </w:pPr>
    </w:p>
    <w:p>
      <w:pPr>
        <w:sectPr>
          <w:pgSz w:w="11900" w:h="16838" w:orient="portrait"/>
          <w:cols w:equalWidth="0" w:num="2">
            <w:col w:w="3320" w:space="180"/>
            <w:col w:w="7740"/>
          </w:cols>
          <w:pgMar w:left="320" w:top="900" w:right="339" w:bottom="144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Sheshet ha-Yamim St 30, Bnei Brak</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Fax No:</w:t>
            </w:r>
          </w:p>
        </w:tc>
        <w:tc>
          <w:tcPr>
            <w:tcW w:w="10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8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00" w:type="dxa"/>
            <w:vAlign w:val="bottom"/>
          </w:tcPr>
          <w:p>
            <w:pPr>
              <w:spacing w:after="0"/>
              <w:rPr>
                <w:sz w:val="24"/>
                <w:szCs w:val="24"/>
                <w:color w:val="auto"/>
              </w:rPr>
            </w:pPr>
          </w:p>
        </w:tc>
      </w:tr>
      <w:tr>
        <w:trPr>
          <w:trHeight w:val="68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-839470</wp:posOffset>
            </wp:positionV>
            <wp:extent cx="1714500" cy="3429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ind w:left="20"/>
        <w:spacing w:after="0"/>
        <w:rPr>
          <w:sz w:val="20"/>
          <w:szCs w:val="20"/>
          <w:color w:val="auto"/>
        </w:rPr>
      </w:pPr>
      <w:r>
        <w:rPr>
          <w:rFonts w:ascii="Times New Roman" w:cs="Times New Roman" w:eastAsia="Times New Roman" w:hAnsi="Times New Roman"/>
          <w:sz w:val="18"/>
          <w:szCs w:val="18"/>
          <w:b w:val="1"/>
          <w:bCs w:val="1"/>
          <w:color w:val="auto"/>
        </w:rPr>
        <w:t>The Original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Sheshet ha-Yamim St 30, Bnei Brak</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Fax No:</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r>
      <w:tr>
        <w:trPr>
          <w:trHeight w:val="8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00" w:type="dxa"/>
            <w:vAlign w:val="bottom"/>
          </w:tcPr>
          <w:p>
            <w:pPr>
              <w:spacing w:after="0"/>
              <w:rPr>
                <w:sz w:val="24"/>
                <w:szCs w:val="24"/>
                <w:color w:val="auto"/>
              </w:rPr>
            </w:pPr>
          </w:p>
        </w:tc>
      </w:tr>
      <w:tr>
        <w:trPr>
          <w:trHeight w:val="68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-822325</wp:posOffset>
            </wp:positionV>
            <wp:extent cx="1714500" cy="3429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color w:val="auto"/>
        </w:rPr>
        <w:t>The Original Guarantors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ETORO LTD</w:t>
            </w:r>
          </w:p>
        </w:tc>
        <w:tc>
          <w:tcPr>
            <w:tcW w:w="10140" w:type="dxa"/>
            <w:vAlign w:val="bottom"/>
          </w:tcPr>
          <w:p>
            <w:pPr>
              <w:spacing w:after="0"/>
              <w:rPr>
                <w:sz w:val="20"/>
                <w:szCs w:val="20"/>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Sheshet ha-Yamim St 30, Bnei Brak</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Fax No:</w:t>
            </w: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8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40" w:type="dxa"/>
            <w:vAlign w:val="bottom"/>
          </w:tcPr>
          <w:p>
            <w:pPr>
              <w:spacing w:after="0"/>
              <w:rPr>
                <w:sz w:val="24"/>
                <w:szCs w:val="24"/>
                <w:color w:val="auto"/>
              </w:rPr>
            </w:pPr>
          </w:p>
        </w:tc>
      </w:tr>
      <w:tr>
        <w:trPr>
          <w:trHeight w:val="682"/>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-822325</wp:posOffset>
            </wp:positionV>
            <wp:extent cx="1714500" cy="3429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color w:val="auto"/>
        </w:rPr>
        <w:t>The Original Guarantors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Sheshet ha-Yamim St 30, Bnei Brak</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Fax No:</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0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r>
      <w:tr>
        <w:trPr>
          <w:trHeight w:val="8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00" w:type="dxa"/>
            <w:vAlign w:val="bottom"/>
          </w:tcPr>
          <w:p>
            <w:pPr>
              <w:spacing w:after="0"/>
              <w:rPr>
                <w:sz w:val="24"/>
                <w:szCs w:val="24"/>
                <w:color w:val="auto"/>
              </w:rPr>
            </w:pPr>
          </w:p>
        </w:tc>
      </w:tr>
      <w:tr>
        <w:trPr>
          <w:trHeight w:val="68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-822325</wp:posOffset>
            </wp:positionV>
            <wp:extent cx="1714500" cy="3429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t>The Arranger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Andrew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Andrew Mason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LEUMI LE-ISRAEL B.M.</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Delia Pekelmun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Delia Pekelmun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CARROL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CARROL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GOLDMAN SACHS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164465</wp:posOffset>
            </wp:positionV>
            <wp:extent cx="1543050" cy="7112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154305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249428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SUMITOMO MITSUI BANKING CORPORATION, LONDON BRANCH</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Gregor Birkenbach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2031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 Birkenbach</w:t>
      </w:r>
    </w:p>
    <w:p>
      <w:pPr>
        <w:spacing w:after="0" w:line="2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Nlkeda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2031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Nlkeda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b w:val="1"/>
          <w:bCs w:val="1"/>
          <w:color w:val="auto"/>
        </w:rPr>
        <w:t>The Arranger (continued)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HAPOALIM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164465</wp:posOffset>
            </wp:positionV>
            <wp:extent cx="1705610" cy="5397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170561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171450</wp:posOffset>
            </wp:positionV>
            <wp:extent cx="1714500" cy="402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17145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LUXEMBOURG S.A.</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Dimitrios Bomplianiotis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Dimitrios Bomplianiotis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Astrid Breyer-Simski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Astrid Breyer-Simski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color w:val="auto"/>
        </w:rPr>
        <w:t>The Arranger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UBS AG LONDON BRANCH</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Marcus Linfoot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Marcus Linfoot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Graham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628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Graham Vance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color w:val="auto"/>
        </w:rPr>
        <w:t>The Original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Andrew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Andrew Mason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LEUMI LE-ISRAEL B.M.</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Delia Pekelmun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Delia Pekelmun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CARROL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CARROL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156845</wp:posOffset>
            </wp:positionV>
            <wp:extent cx="1714500" cy="3943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17145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SUMITOMO MITSUI BANKING CORPORATION, LONDON BRANCH</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Gregor Birkenbach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2031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 Birkenbach</w:t>
      </w:r>
    </w:p>
    <w:p>
      <w:pPr>
        <w:spacing w:after="0" w:line="2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Nlkeda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2031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Nlkeda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HAPOALIM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156845</wp:posOffset>
            </wp:positionV>
            <wp:extent cx="1714500" cy="548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17145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171450</wp:posOffset>
            </wp:positionV>
            <wp:extent cx="1714500" cy="402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17145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LUXEMBOURG S.A.</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Dimitrios Bomplianiotis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Dimitrios Bomplianiotis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Astrid Breyer-Simski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Astrid Breyer-Simski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color w:val="auto"/>
        </w:rPr>
        <w:t>The Original Lenders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UBS AG LONDON BRANCH</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Marcus Linfoot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Marcus Linfoot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Graham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5628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Graham Vance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LUXEMBOURG S.A.</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Boulevard Konrad Adenauer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L-1115 Luxembourg, Luxembourg</w:t>
      </w:r>
    </w:p>
    <w:p>
      <w:pPr>
        <w:spacing w:after="0" w:line="200" w:lineRule="exact"/>
        <w:rPr>
          <w:sz w:val="20"/>
          <w:szCs w:val="20"/>
          <w:color w:val="auto"/>
        </w:rPr>
      </w:pPr>
    </w:p>
    <w:p>
      <w:pPr>
        <w:sectPr>
          <w:pgSz w:w="11900" w:h="16838" w:orient="portrait"/>
          <w:cols w:equalWidth="0" w:num="2">
            <w:col w:w="640" w:space="500"/>
            <w:col w:w="8999"/>
          </w:cols>
          <w:pgMar w:left="320" w:top="90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ectPr>
          <w:pgSz w:w="11900" w:h="16838" w:orient="portrait"/>
          <w:cols w:equalWidth="0" w:num="1">
            <w:col w:w="10139"/>
          </w:cols>
          <w:pgMar w:left="320" w:top="900" w:right="1440" w:bottom="1440" w:gutter="0" w:footer="0" w:header="0"/>
          <w:type w:val="continuous"/>
        </w:sectPr>
      </w:pP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Jörg Frans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5628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Jörg Frans</w:t>
      </w:r>
    </w:p>
    <w:p>
      <w:pPr>
        <w:spacing w:after="0" w:line="2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Silke Jakobs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25628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Silke Jakobs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Subsidiaries of eToro Group Ltd.</w:t>
            </w:r>
          </w:p>
        </w:tc>
      </w:tr>
      <w:tr>
        <w:trPr>
          <w:trHeight w:val="43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Asset Management Limited</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AUS Capital Pty Ltd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(Europe) Limited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Cyprus</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Group Trading Ltd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Ltd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(ME) Limited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Emirate of Abu Dhabi</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Money Malta Ltd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Malta</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Money UK Ltd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(Seychelles) Limited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Seychelles</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(UK) Limited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USA LLC</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Sates (Delaware)</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eToro USA Securities Inc.</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X Limited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Gibraltar</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Spaceship Capital Limited</w:t>
            </w:r>
          </w:p>
        </w:tc>
        <w:tc>
          <w:tcPr>
            <w:tcW w:w="210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eToro Singapore Pte. Ltd.</w:t>
            </w:r>
          </w:p>
        </w:tc>
        <w:tc>
          <w:tcPr>
            <w:tcW w:w="21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bl>
    <w:p>
      <w:pPr>
        <w:sectPr>
          <w:pgSz w:w="11900" w:h="16838" w:orient="portrait"/>
          <w:cols w:equalWidth="0" w:num="1">
            <w:col w:w="11240"/>
          </w:cols>
          <w:pgMar w:left="320" w:top="117" w:right="339" w:bottom="1440" w:gutter="0" w:footer="0" w:header="0"/>
        </w:sectPr>
      </w:pPr>
    </w:p>
    <w:bookmarkStart w:id="362" w:name="page363"/>
    <w:bookmarkEnd w:id="362"/>
    <w:p>
      <w:pPr>
        <w:ind w:left="9160"/>
        <w:spacing w:after="0"/>
        <w:rPr>
          <w:sz w:val="20"/>
          <w:szCs w:val="20"/>
          <w:color w:val="auto"/>
        </w:rPr>
      </w:pPr>
      <w:r>
        <w:rPr>
          <w:rFonts w:ascii="Times New Roman" w:cs="Times New Roman" w:eastAsia="Times New Roman" w:hAnsi="Times New Roman"/>
          <w:sz w:val="17"/>
          <w:szCs w:val="17"/>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164465</wp:posOffset>
            </wp:positionV>
            <wp:extent cx="1345565" cy="3860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eToro Group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u w:val="single" w:color="auto"/>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2359025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type w:val="continuous"/>
        </w:sectPr>
      </w:pPr>
    </w:p>
    <w:bookmarkStart w:id="363" w:name="page364"/>
    <w:bookmarkEnd w:id="363"/>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Revision History</w:t>
            </w:r>
          </w:p>
        </w:tc>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80"/>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Version</w:t>
            </w:r>
          </w:p>
        </w:tc>
        <w:tc>
          <w:tcPr>
            <w:tcW w:w="246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Created By</w:t>
            </w:r>
          </w:p>
        </w:tc>
        <w:tc>
          <w:tcPr>
            <w:tcW w:w="34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Completion Date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Distribution Date</w:t>
            </w:r>
          </w:p>
        </w:tc>
      </w:tr>
      <w:tr>
        <w:trPr>
          <w:trHeight w:val="209"/>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V1.0</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7"/>
              </w:rPr>
              <w:t>May, 2025</w:t>
            </w:r>
          </w:p>
        </w:tc>
      </w:t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V2.0</w:t>
            </w:r>
          </w:p>
        </w:tc>
        <w:tc>
          <w:tcPr>
            <w:tcW w:w="246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color w:val="auto"/>
                <w:w w:val="99"/>
              </w:rPr>
              <w:t>Guy Kofman</w:t>
            </w:r>
          </w:p>
        </w:tc>
        <w:tc>
          <w:tcPr>
            <w:tcW w:w="3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February 12, 2026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373"/>
        </w:trPr>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Review and Approval</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79"/>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Version</w:t>
            </w:r>
          </w:p>
        </w:tc>
        <w:tc>
          <w:tcPr>
            <w:tcW w:w="24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Approver Name</w:t>
            </w:r>
          </w:p>
        </w:tc>
        <w:tc>
          <w:tcPr>
            <w:tcW w:w="3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Approver Role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Approval Date</w:t>
            </w: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V1.0</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eToro Group Directors</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Board of Directors</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2025</w:t>
            </w:r>
          </w:p>
        </w:tc>
      </w:t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V2.0</w:t>
            </w:r>
          </w:p>
        </w:tc>
        <w:tc>
          <w:tcPr>
            <w:tcW w:w="24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9"/>
              </w:rPr>
              <w:t>eToro Group Directors</w:t>
            </w:r>
          </w:p>
        </w:tc>
        <w:tc>
          <w:tcPr>
            <w:tcW w:w="3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Board of Directors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Version: </w:t>
      </w:r>
      <w:r>
        <w:rPr>
          <w:rFonts w:ascii="Times New Roman" w:cs="Times New Roman" w:eastAsia="Times New Roman" w:hAnsi="Times New Roman"/>
          <w:sz w:val="18"/>
          <w:szCs w:val="18"/>
          <w:color w:val="auto"/>
        </w:rPr>
        <w:t>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Applicability: </w:t>
      </w:r>
      <w:r>
        <w:rPr>
          <w:rFonts w:ascii="Times New Roman" w:cs="Times New Roman" w:eastAsia="Times New Roman" w:hAnsi="Times New Roman"/>
          <w:sz w:val="18"/>
          <w:szCs w:val="18"/>
          <w:color w:val="auto"/>
        </w:rPr>
        <w:t>All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Target audience: </w:t>
      </w:r>
      <w:r>
        <w:rPr>
          <w:rFonts w:ascii="Times New Roman" w:cs="Times New Roman" w:eastAsia="Times New Roman" w:hAnsi="Times New Roman"/>
          <w:sz w:val="18"/>
          <w:szCs w:val="18"/>
          <w:color w:val="auto"/>
        </w:rPr>
        <w:t>All eToro employees, directors and designated counsels.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Internal/External Use: </w:t>
      </w:r>
      <w:r>
        <w:rPr>
          <w:rFonts w:ascii="Times New Roman" w:cs="Times New Roman" w:eastAsia="Times New Roman" w:hAnsi="Times New Roman"/>
          <w:sz w:val="18"/>
          <w:szCs w:val="18"/>
          <w:color w:val="auto"/>
        </w:rPr>
        <w:t>Internal.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280" w:type="dxa"/>
            <w:vAlign w:val="bottom"/>
          </w:tcPr>
          <w:p>
            <w:pPr>
              <w:spacing w:after="0"/>
              <w:rPr>
                <w:sz w:val="20"/>
                <w:szCs w:val="20"/>
                <w:color w:val="auto"/>
              </w:rPr>
            </w:pPr>
          </w:p>
        </w:tc>
      </w:tr>
      <w:tr>
        <w:trPr>
          <w:trHeight w:val="432"/>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Contents</w:t>
            </w:r>
          </w:p>
        </w:tc>
        <w:tc>
          <w:tcPr>
            <w:tcW w:w="32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80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Overview</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Scope</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 Subject to this Policy</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Policy Statement</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Responsibility</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 of “Insider Trading”</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3.3.1 What is Material Information?</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 Twenty-Twenty Hindsight</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3.3.4 Tipping Material Nonpublic Information is Prohibited</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Transactions</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3.4.1 Special Transactions</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3.4.2 Prohibited Transactions</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Blackout Periods</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Violations of this Policy and Insider Trading Laws</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Reporting Violations and Seeking Advice</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Penalties for Insider Trading</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Periodic Review</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Training</w:t>
            </w:r>
          </w:p>
        </w:tc>
        <w:tc>
          <w:tcPr>
            <w:tcW w:w="32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w:t>
            </w:r>
          </w:p>
        </w:tc>
        <w:tc>
          <w:tcPr>
            <w:tcW w:w="3280" w:type="dxa"/>
            <w:vAlign w:val="bottom"/>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Introduction</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 Plans</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Pre-Clearance Procedures</w:t>
            </w:r>
          </w:p>
        </w:tc>
        <w:tc>
          <w:tcPr>
            <w:tcW w:w="32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Limitations and Requirements on Resales of the Company’s Securities</w:t>
            </w:r>
          </w:p>
        </w:tc>
        <w:tc>
          <w:tcPr>
            <w:tcW w:w="3280" w:type="dxa"/>
            <w:vAlign w:val="bottom"/>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88"/>
              </w:rPr>
              <w:t>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Overview</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course of conducting the business of eToro Group Ltd. (together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you may come into possession of material information about the Company or other entities that is not available to the investing public (referenced herein as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as explained in greater detail below). You have a legal and ethical obligation to maintain the confidentiality of material nonpublic information. In addition, it is illegal and a violation of Company policy to purchase or sell securities of the Company or any other entity while you are in possession of material nonpublic information about the Company or that other entity obtained in the course of your position with the Company. The Company’s Board of Directors has adopted this policy in order to ensure compliance with the law and regulations and to avoid even the appearance of improper conduct by the Company’s officers, directors and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Scope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is comprised of its main body and the Addendum (as defined below). The procedures and restrictions set forth in the main body of the policy apply to all Company officers, directors and employees, wherever located. The Company may also determine that other persons should be subject to this policy, such as contractors or consultants, who have access to material nonpublic information. This policy also applies to family members, such as spouses, minor children and adult family members who share the same household, and any other person, trust or other entity whose securities trading decisions are influenced significantly or controlled by the officer, director or employee (collectively, “</w:t>
      </w:r>
      <w:r>
        <w:rPr>
          <w:rFonts w:ascii="Times New Roman" w:cs="Times New Roman" w:eastAsia="Times New Roman" w:hAnsi="Times New Roman"/>
          <w:sz w:val="18"/>
          <w:szCs w:val="18"/>
          <w:b w:val="1"/>
          <w:bCs w:val="1"/>
          <w:color w:val="auto"/>
        </w:rPr>
        <w:t>Related Insiders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 avoid even the appearance of impropriety, additional restrictions on trading Company securities apply to directors, officers and certain designated employees who have regular access to material nonpublic information about the Company. These policies are set forth in the Company’s </w:t>
      </w:r>
      <w:r>
        <w:rPr>
          <w:rFonts w:ascii="Times New Roman" w:cs="Times New Roman" w:eastAsia="Times New Roman" w:hAnsi="Times New Roman"/>
          <w:sz w:val="18"/>
          <w:szCs w:val="18"/>
          <w:u w:val="single" w:color="auto"/>
          <w:color w:val="auto"/>
        </w:rPr>
        <w:t>Addendum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attached hereto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The Company will notify you if you are subject to the Addendum. The Addendum generally requires directors, officers and designated employees to enter into a 10b5-1 Plan (as defined below) or obtain pre-clearance for all transactions in Company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Addendum, including any limitations or additional obligations set forth therein, applies to the individuals listed within it, in addition to the main body of the policy.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and the Addendum, continue to apply to transactions in Company securities even after a person’s service with the Company is terminated. If a person is in possession of material nonpublic information when his or her service terminates, that individual may not trade in Company securities until that information has become public or is no longer material. Questions or concerns on whether any continuing nonpublic information remains material should be directed to the Legal Department. The pre-clearance procedures specified in the Addendum, however, will cease to apply to transactions in Company securities upon the expiration of any blackout period or other Company-imposed trading restrictions applicable at the time of the termination of service.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ind w:left="180" w:hanging="172"/>
        <w:spacing w:after="0"/>
        <w:tabs>
          <w:tab w:leader="none" w:pos="18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Subject to this Policy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Policy Statement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transactions in common shares, preferred shares, bonds and other debt securities, options to purchase common shares, convertible debentures and warrants, as well as derivative securities whether or not issued by the Company, such as exchange-traded put or call options or swaps relating to the Company’s securities, including restricted shares, restricted share units or other share-based award granted pursuant to the Company's Share Incentive Plan. See the section 3.4.1, “Special Transactions” and section 3.4.2, “Prohibited Transactions” for further discussion of certain types of securities and transactions. Transactions subject to this policy also include gifts of Company securities, which may include gifts to trusts for estate planning purposes, as well as donations to a charitable organization.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Individual Responsibility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person subject to this policy is individually responsible for complying with this policy and ensuring the compliance of any Related Insiders whose transactions are subject to this policy. Accordingly, you should make sure any Related Insiders are aware of the need to confer with you before they trade in Company securities, and you should treat all such transactions for the purposes of this policy and applicable securities laws concerning trading while in possession of material nonpublic information as if the transactions were for your own account.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all cases, the responsibility for determining whether an individual is in possession of material nonpublic information rests with that individual, and any action on the part of the Company or any other employee pursuant to this policy (or otherwise) does not in any way constitute legal advice or insulate an individual from liability under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Definition of “Insider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law concerning insider trading is not static, it is generally understood that the law prohibits:</w:t>
      </w:r>
    </w:p>
    <w:p>
      <w:pPr>
        <w:spacing w:after="0" w:line="225" w:lineRule="exact"/>
        <w:rPr>
          <w:sz w:val="20"/>
          <w:szCs w:val="20"/>
          <w:color w:val="auto"/>
        </w:rPr>
      </w:pPr>
    </w:p>
    <w:p>
      <w:pPr>
        <w:ind w:left="980" w:hanging="324"/>
        <w:spacing w:after="0"/>
        <w:tabs>
          <w:tab w:leader="none" w:pos="9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an insider while in possession of material nonpublic information;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a non-insider while in possession of material nonpublic information, where the information either was disclosed to the non-insider in violation of an insider’s duty to keep it confidential or was misappropriated;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material nonpublic information to others who may trade, or advise others to trade, on the basis of such information (“</w:t>
      </w: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elements of insider trading and the penalties for such unlawful conduct are discussed below in Section 5. If, after reviewing this policy, you have any questions, you should speak to the Legal Department.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3.3.1 What is Material Information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Under Company policy and United States laws, information is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xml:space="preserve"> if:</w:t>
      </w:r>
    </w:p>
    <w:p>
      <w:pPr>
        <w:spacing w:after="0" w:line="229" w:lineRule="exact"/>
        <w:rPr>
          <w:sz w:val="20"/>
          <w:szCs w:val="20"/>
          <w:color w:val="auto"/>
        </w:rPr>
      </w:pPr>
    </w:p>
    <w:p>
      <w:pPr>
        <w:ind w:left="1300" w:hanging="320"/>
        <w:spacing w:after="0" w:line="282" w:lineRule="auto"/>
        <w:tabs>
          <w:tab w:leader="none" w:pos="13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substantial likelihood that a reasonable investor would consider the information important in determining whether to trade in a security; or</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if made public, likely would affect the market price of a company’s securities.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with respect to companies that do not have publicly-traded shares, such as those with outstanding bonds.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information about the Company that should be evaluated for materiality may include, but are not limited to:</w:t>
      </w:r>
    </w:p>
    <w:p>
      <w:pPr>
        <w:spacing w:after="0" w:line="225" w:lineRule="exact"/>
        <w:rPr>
          <w:sz w:val="20"/>
          <w:szCs w:val="20"/>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earnings announcements or guidance, or significant updates or confirmation of previously released announcements or guidance;</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unpublished financial results;</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and additions to reserves for bad debts that materially impact the Company’s financial position;</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or curtailment of operations and business disruptions;</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risk that may adversely impact the Company’s business, reputation or share value;</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 or the entering/expansion into a new territory likely to affect the Company’s financial results;</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sanctions, regulatory or government action, or the resolution thereof;</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strategic or extraordinary merger, acquisition, tender offer, joint venture, restructuring or change in assets;</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significant assets or of a significant subsidiary;</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 recommendations or debt ratings;</w:t>
      </w:r>
    </w:p>
    <w:p>
      <w:pPr>
        <w:spacing w:after="0" w:line="250" w:lineRule="exact"/>
        <w:rPr>
          <w:rFonts w:ascii="Times New Roman" w:cs="Times New Roman" w:eastAsia="Times New Roman" w:hAnsi="Times New Roman"/>
          <w:sz w:val="18"/>
          <w:szCs w:val="18"/>
          <w:color w:val="auto"/>
        </w:rPr>
      </w:pPr>
    </w:p>
    <w:p>
      <w:pPr>
        <w:ind w:left="640" w:hanging="320"/>
        <w:spacing w:after="0" w:line="284" w:lineRule="auto"/>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regarding the Company’s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defaults on senior securities, calls of securities for redemption, repurchase plans, share splits, changes in dividends, changes to the rights of security holders or an offering of additional securities);</w:t>
      </w:r>
    </w:p>
    <w:p>
      <w:pPr>
        <w:spacing w:after="0" w:line="18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of the Company or extraordinary management developments;</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pricing or cost structure with a material financial impact;</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 or other financing transactions out of the ordinary course;</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 or impending bankruptcy;</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auditor notification that the Company may no longer rely on an audit report; and</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material contracts, customers or financing sources, or the loss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3.3.2 What is Nonpublic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right="20"/>
        <w:spacing w:after="0" w:line="282" w:lineRule="auto"/>
        <w:rPr>
          <w:sz w:val="20"/>
          <w:szCs w:val="20"/>
          <w:color w:val="auto"/>
        </w:rPr>
      </w:pPr>
      <w:r>
        <w:rPr>
          <w:rFonts w:ascii="Times New Roman" w:cs="Times New Roman" w:eastAsia="Times New Roman" w:hAnsi="Times New Roman"/>
          <w:sz w:val="18"/>
          <w:szCs w:val="18"/>
          <w:color w:val="auto"/>
        </w:rPr>
        <w:t>Information is considered to be nonpublic unless it has been adequately disclosed to the public. This means that the information must be publicly disseminated and sufficient time must have passed for the securities markets to digest the information.</w:t>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368" w:name="page369"/>
    <w:bookmarkEnd w:id="368"/>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ind w:left="320" w:right="20"/>
        <w:spacing w:after="0" w:line="266" w:lineRule="auto"/>
        <w:rPr>
          <w:sz w:val="20"/>
          <w:szCs w:val="20"/>
          <w:color w:val="auto"/>
        </w:rPr>
      </w:pPr>
      <w:r>
        <w:rPr>
          <w:rFonts w:ascii="Times New Roman" w:cs="Times New Roman" w:eastAsia="Times New Roman" w:hAnsi="Times New Roman"/>
          <w:sz w:val="18"/>
          <w:szCs w:val="18"/>
          <w:color w:val="auto"/>
        </w:rPr>
        <w:t>It is important to note that information is not necessarily public merely because it has been discussed in the press or on social media, which will sometimes report rumors. You should presume that information is nonpublic, unless you can point to its official release by the Company in at least one of the following ways:</w:t>
      </w:r>
    </w:p>
    <w:p>
      <w:pPr>
        <w:spacing w:after="0" w:line="172" w:lineRule="exact"/>
        <w:rPr>
          <w:sz w:val="20"/>
          <w:szCs w:val="20"/>
          <w:color w:val="auto"/>
        </w:rPr>
      </w:pPr>
    </w:p>
    <w:p>
      <w:pPr>
        <w:ind w:left="960" w:hanging="316"/>
        <w:spacing w:after="0"/>
        <w:tabs>
          <w:tab w:leader="none" w:pos="9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securities regulatory authorities;</w:t>
      </w:r>
    </w:p>
    <w:p>
      <w:pPr>
        <w:spacing w:after="0" w:line="22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press releases via major newswire such as Dow Jones or Reuters; or</w:t>
      </w:r>
    </w:p>
    <w:p>
      <w:pPr>
        <w:spacing w:after="0" w:line="225" w:lineRule="exact"/>
        <w:rPr>
          <w:rFonts w:ascii="Times New Roman" w:cs="Times New Roman" w:eastAsia="Times New Roman" w:hAnsi="Times New Roman"/>
          <w:sz w:val="18"/>
          <w:szCs w:val="18"/>
          <w:color w:val="auto"/>
        </w:rPr>
      </w:pPr>
    </w:p>
    <w:p>
      <w:pPr>
        <w:ind w:left="960" w:right="20" w:hanging="316"/>
        <w:spacing w:after="0" w:line="282" w:lineRule="auto"/>
        <w:tabs>
          <w:tab w:leader="none" w:pos="9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via the Company’s website or social media platforms to the extent such channels are established as recognized channels of distribution of material nonpublic information</w:t>
      </w:r>
    </w:p>
    <w:p>
      <w:pPr>
        <w:spacing w:after="0" w:line="162"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one full trading day following its official release. For example, if the Company releases material news on a Wednesday after market close, you may not trade in Company securities until after the market opens on Friday.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3.3.3 Twenty-Twenty Hindsight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If you have any questions or uncertainties about this policy or a proposed transaction, please ask the Legal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3.3.4 Tipping Material Nonpublic Information is Prohibited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trading while in possession of material nonpublic information, it is also illegal and a violation of this policy, as well as the Company’s Corporate Disclosure and Confidentiality Policy, to provide such information to another who may trade or to advise another to trade on the basis of such information. This policy applies regardless of whether the person or entity who receives the information, the “tippee,” is related to you and regardless of whether you receive any monetary benefit from the tippee.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3.3.5 Section 16 Restrictions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 (“Section 16”) of the Securities Exchange Act of 1934, as amended (“Exchange Act”), and the related rules and regulations, set forth obligations and limitations applicable to certain persons at a company. The Company’s Board of Directors has determined and notified those persons who are required to comply with Section 16, and the related rules and regulations, because of their positions with the Company.</w:t>
      </w:r>
    </w:p>
    <w:p>
      <w:pPr>
        <w:spacing w:after="0" w:line="17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369" w:name="page370"/>
    <w:bookmarkEnd w:id="369"/>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timely reporting of transactions requires tight interface with brokers handling transactions for persons that are subject to Section 16. A knowledgeable, alert broker can also serve as a gatekeeper, helping to ensure compliance with the Company’s pre-clearance procedures and helping prevent inadvertent violations. Therefore, in order to facilitate timely compliance with the requirements of Section 16, persons subject to Section 16 need to make sure that their brokers comply with the following requirements:</w:t>
      </w:r>
    </w:p>
    <w:p>
      <w:pPr>
        <w:spacing w:after="0" w:line="180" w:lineRule="exact"/>
        <w:rPr>
          <w:sz w:val="20"/>
          <w:szCs w:val="20"/>
          <w:color w:val="auto"/>
        </w:rPr>
      </w:pPr>
    </w:p>
    <w:p>
      <w:pPr>
        <w:ind w:left="980" w:hanging="324"/>
        <w:spacing w:after="0" w:line="282" w:lineRule="auto"/>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any order (except for orders under pre-approved Rule 10b5-1 plans) without first verifying with the Company that a transaction was pre-cleared and complying with the brokerage firm’s compliance procedures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Rule 144);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before the close of business on the day of the execution of the transaction to the Company in writing via e-mail to the Legal Department, and if receipt is not verified in writing by the Company, also verify receipt by telephone, the complete details of every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date, type of transaction, number of shares and price) involving the Company’s equity securities, including gifts, transfers, pledges and all transactions under 10b5-1 and other trading plans.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Because it is the legal obligation of the trading person to cause any filings on Form 3, Form 4, Form 5 or Form 144 (or as may otherwise be required), to be made, you are strongly encouraged to confirm following any transaction that your broker has immediately e-mailed the required information to the Company and confirmed receipt of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Certain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3.4.1 Special Transactions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prohibition on trading while in possession of material nonpublic information and the other trading restrictions in this policy do not apply in the case of the following transactions, except as specifically noted:</w:t>
      </w:r>
    </w:p>
    <w:p>
      <w:pPr>
        <w:spacing w:after="0" w:line="158" w:lineRule="exact"/>
        <w:rPr>
          <w:sz w:val="20"/>
          <w:szCs w:val="20"/>
          <w:color w:val="auto"/>
        </w:rPr>
      </w:pPr>
    </w:p>
    <w:p>
      <w:pPr>
        <w:jc w:val="both"/>
        <w:ind w:left="980" w:hanging="324"/>
        <w:spacing w:after="0" w:line="259" w:lineRule="auto"/>
        <w:tabs>
          <w:tab w:leader="none" w:pos="98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Option Plans</w:t>
      </w:r>
      <w:r>
        <w:rPr>
          <w:rFonts w:ascii="Times New Roman" w:cs="Times New Roman" w:eastAsia="Times New Roman" w:hAnsi="Times New Roman"/>
          <w:sz w:val="18"/>
          <w:szCs w:val="18"/>
          <w:color w:val="auto"/>
        </w:rPr>
        <w:t>. Exercises of share options where no Company common shares are sold in the market to fund the option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related taxes (i.e., a net exercise or where cash is paid to exercise the option) or to the exercise of a tax withholding right pursuant to which a person has elected to have the Company withhold shares subject to an option to satisfy tax withholding requirements. The trading restrictions do apply, however, to subsequent sales of Company common shares received upon the exercise of options in which the proceeds are used to fund the option exercise price (i.e., including as part of a broker-assisted cashless exercise of options) or related taxes.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2" w:lineRule="auto"/>
        <w:tabs>
          <w:tab w:leader="none" w:pos="98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Share Awards</w:t>
      </w:r>
      <w:r>
        <w:rPr>
          <w:rFonts w:ascii="Times New Roman" w:cs="Times New Roman" w:eastAsia="Times New Roman" w:hAnsi="Times New Roman"/>
          <w:sz w:val="18"/>
          <w:szCs w:val="18"/>
          <w:color w:val="auto"/>
        </w:rPr>
        <w:t>. Vesting of restricted shares or restricted share units, or the exercise of a tax withholding right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elect to have the Company withhold shares to satisfy tax withholding requirements upon the vesting of any restricted shares or restricted share units. The trading restrictions do apply, however, to any market sale of unvested or vested restricted shares or shares received upon vesting of restricted share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ind w:left="324" w:hanging="324"/>
        <w:spacing w:after="0" w:line="262"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Share Purchase Plan (ESPP) Purchases</w:t>
      </w:r>
      <w:r>
        <w:rPr>
          <w:rFonts w:ascii="Times New Roman" w:cs="Times New Roman" w:eastAsia="Times New Roman" w:hAnsi="Times New Roman"/>
          <w:sz w:val="18"/>
          <w:szCs w:val="18"/>
          <w:color w:val="auto"/>
        </w:rPr>
        <w:t>. Purchases of Company securities through the Company’s employee share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via regular payroll deductions are exempt from the trading restrictions and pre-clearance requirements of this policy. However, the trading restrictions do apply to any sale of such securities or to any change in the level of withholding contributions during an offering period, to the extent allowed under such plan.</w:t>
      </w:r>
    </w:p>
    <w:p>
      <w:pPr>
        <w:spacing w:after="0" w:line="17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Dividends. </w:t>
      </w:r>
      <w:r>
        <w:rPr>
          <w:rFonts w:ascii="Times New Roman" w:cs="Times New Roman" w:eastAsia="Times New Roman" w:hAnsi="Times New Roman"/>
          <w:sz w:val="18"/>
          <w:szCs w:val="18"/>
          <w:color w:val="auto"/>
        </w:rPr>
        <w:t>The acquisition of Company securities as a dividend or distribution without the payment of consideration therefor.</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Receipt of Shares in Connection with Distribution Investment Plan</w:t>
      </w:r>
      <w:r>
        <w:rPr>
          <w:rFonts w:ascii="Times New Roman" w:cs="Times New Roman" w:eastAsia="Times New Roman" w:hAnsi="Times New Roman"/>
          <w:sz w:val="18"/>
          <w:szCs w:val="18"/>
          <w:color w:val="auto"/>
        </w:rPr>
        <w:t>. The receipt of Company securities as part of a distribution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where the timing and receipt are involuntary and not at the discretion of the recipient, is exempt from the trading restrictions and pre-clearance requirements of this policy. However, these exemptions shall not apply to (i) any subsequent sale or transfer of such securities, (ii) a voluntary purchase of the Company’s securities that results from additional contributions a participant chooses to make to the plan, and (iii) to a participant’s election to cease participation or otherwise alter their participation in the plan.</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and Estate Planning Transfers</w:t>
      </w:r>
      <w:r>
        <w:rPr>
          <w:rFonts w:ascii="Times New Roman" w:cs="Times New Roman" w:eastAsia="Times New Roman" w:hAnsi="Times New Roman"/>
          <w:sz w:val="18"/>
          <w:szCs w:val="18"/>
          <w:color w:val="auto"/>
        </w:rPr>
        <w:t>. Distributions or transfers (such as certain tax planning or estate planning transfers) that effect only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the form of beneficial interest without changing your pecuniary interest in the Company’s securities are exempt from this policy, provided that prior written notice of such distribution or transfer is provided to the Legal Department.</w:t>
      </w:r>
    </w:p>
    <w:p>
      <w:pPr>
        <w:spacing w:after="0" w:line="170" w:lineRule="exact"/>
        <w:rPr>
          <w:rFonts w:ascii="Times New Roman" w:cs="Times New Roman" w:eastAsia="Times New Roman" w:hAnsi="Times New Roman"/>
          <w:sz w:val="18"/>
          <w:szCs w:val="18"/>
          <w:color w:val="auto"/>
        </w:rPr>
      </w:pPr>
    </w:p>
    <w:p>
      <w:pPr>
        <w:ind w:left="324" w:right="20" w:hanging="324"/>
        <w:spacing w:after="0" w:line="286"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10b5-1 Plans</w:t>
      </w:r>
      <w:r>
        <w:rPr>
          <w:rFonts w:ascii="Times New Roman" w:cs="Times New Roman" w:eastAsia="Times New Roman" w:hAnsi="Times New Roman"/>
          <w:sz w:val="18"/>
          <w:szCs w:val="18"/>
          <w:color w:val="auto"/>
        </w:rPr>
        <w:t>. The execution of transactions pursuant to a trading plan that complies with SEC Rule 10b5-1 and which has been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accordance with the Addendum.</w:t>
      </w:r>
    </w:p>
    <w:p>
      <w:pPr>
        <w:spacing w:after="0" w:line="154"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Secondary Offerings</w:t>
      </w:r>
      <w:r>
        <w:rPr>
          <w:rFonts w:ascii="Times New Roman" w:cs="Times New Roman" w:eastAsia="Times New Roman" w:hAnsi="Times New Roman"/>
          <w:sz w:val="18"/>
          <w:szCs w:val="18"/>
          <w:color w:val="auto"/>
        </w:rPr>
        <w:t>. Sales of the Company’s securities as a selling shareholder in a registered public offering in accordance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w:t>
      </w:r>
    </w:p>
    <w:p>
      <w:pPr>
        <w:spacing w:after="0" w:line="154" w:lineRule="exact"/>
        <w:rPr>
          <w:rFonts w:ascii="Times New Roman" w:cs="Times New Roman" w:eastAsia="Times New Roman" w:hAnsi="Times New Roman"/>
          <w:sz w:val="18"/>
          <w:szCs w:val="18"/>
          <w:color w:val="auto"/>
        </w:rPr>
      </w:pPr>
    </w:p>
    <w:p>
      <w:pPr>
        <w:ind w:left="324" w:right="20" w:hanging="324"/>
        <w:spacing w:after="0" w:line="286" w:lineRule="auto"/>
        <w:tabs>
          <w:tab w:leader="none" w:pos="32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Transactions</w:t>
      </w:r>
      <w:r>
        <w:rPr>
          <w:rFonts w:ascii="Times New Roman" w:cs="Times New Roman" w:eastAsia="Times New Roman" w:hAnsi="Times New Roman"/>
          <w:sz w:val="18"/>
          <w:szCs w:val="18"/>
          <w:color w:val="auto"/>
        </w:rPr>
        <w:t>. Purchases of Company securities directly from the Company or sales of Company securities directly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exempted from the trading restrictions of this policy with approval by the Legal Department.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3.4.2 Prohibited Transactions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Due to the heightened legal risk associated with the following transactions, the individuals subject to this policy may not engage in the following:</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Publicly-Traded Options</w:t>
      </w:r>
      <w:r>
        <w:rPr>
          <w:rFonts w:ascii="Times New Roman" w:cs="Times New Roman" w:eastAsia="Times New Roman" w:hAnsi="Times New Roman"/>
          <w:sz w:val="18"/>
          <w:szCs w:val="18"/>
          <w:color w:val="auto"/>
        </w:rPr>
        <w:t>. You are prohibited from trading in options, warrants, puts and calls or similar instruments on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the relatively short term of publicly-traded options, transactions in options may create the appearance that an insider is trading based on material nonpublic information and focus a director’s, officer’s or other employee’s attention on short-term performance at the expense of the Company’s long-term objectives.</w:t>
      </w:r>
    </w:p>
    <w:p>
      <w:pPr>
        <w:spacing w:after="0" w:line="176"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371" w:name="page372"/>
    <w:bookmarkEnd w:id="371"/>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ind w:left="980" w:hanging="324"/>
        <w:spacing w:after="0" w:line="268" w:lineRule="auto"/>
        <w:tabs>
          <w:tab w:leader="none" w:pos="98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You are prohibited from engaging in short sales of Company securities. A short sale has occurred if the seller does not own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sold. Short sales may reduce a seller’s incentive to seek to improve the Company’s performance and often have the potential to signal to the market that the seller lacks confidence in the Company’s prospects.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Margin Accounts and Pledges</w:t>
      </w:r>
      <w:r>
        <w:rPr>
          <w:rFonts w:ascii="Times New Roman" w:cs="Times New Roman" w:eastAsia="Times New Roman" w:hAnsi="Times New Roman"/>
          <w:sz w:val="18"/>
          <w:szCs w:val="18"/>
          <w:color w:val="auto"/>
        </w:rPr>
        <w:t>. Securities held on margin (or margined) or pledged as collateral may be sold without your consent if you fail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meet a margin call or, if you default on a loan, a margin or foreclosure sale may result in unlawful insider trading if such sale occurs at a time when the pledgor is aware of material nonpublic information or otherwise is not permitted to trade in Company securities. Because of this danger, you are prohibited from margining Company securities or pledging Company securities as collateral for a loan unless (i) you have demonstrated to the Company’s satisfaction that you have the financial capacity to repay the loan without the sale of the Company securities you propose to pledge as collateral, (ii) you are entering into an agreement to pledge/collateralize your securities at a time when you are not in possession of material nonpublic information and (iii) you submit a request for approval to the Legal Department at least two weeks prior to the execution of the documents evidencing the proposed pledge.</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Hedging Transactions</w:t>
      </w:r>
      <w:r>
        <w:rPr>
          <w:rFonts w:ascii="Times New Roman" w:cs="Times New Roman" w:eastAsia="Times New Roman" w:hAnsi="Times New Roman"/>
          <w:sz w:val="18"/>
          <w:szCs w:val="18"/>
          <w:color w:val="auto"/>
        </w:rPr>
        <w:t>. You are prohibited from engaging (directly or indirectly) in hedging transactions with respect to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engaging in transactions that hedge or offset, or are designed to hedge or offset, any decrease in the market value of Company securities. Certain forms of hedging transactions, such as zero cost collars and forward sale contracts, in certain instances involve the establishment of a short position (or an equivalent position) in Company securities and limit or eliminate the ability to profit from an increase in the value of Company securities. Hedging transactions also include (but are not limited to) collars, equity swaps, exchange funds and prepaid variable forward sale contracts. Hedging transactions may allow an insider to continue to own Company securities, but without the full risks and rewards of ownership. This may lead to such insider no longer having the same objectives as the Company’s other shareholders.</w:t>
      </w:r>
    </w:p>
    <w:p>
      <w:pPr>
        <w:spacing w:after="0" w:line="18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Blackout Periods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individuals subject to this policy (and Related Insiders) are subject to the following blackout periods, during which they may not trade in the Company’s securities (except, in the case of persons subject to the Addendum, by means of a pre-arranged Rule 10b5-1 Plan that is approved by the Legal Department).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Quarterly Blackout</w:t>
      </w:r>
      <w:r>
        <w:rPr>
          <w:rFonts w:ascii="Times New Roman" w:cs="Times New Roman" w:eastAsia="Times New Roman" w:hAnsi="Times New Roman"/>
          <w:sz w:val="18"/>
          <w:szCs w:val="18"/>
          <w:color w:val="auto"/>
        </w:rPr>
        <w:t>. Because the announcement of the Company’s quarterly financial results will almost always have the potential to have a material effect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on the market for the Company’s securities, you may not trade in the Company’s securities during the period beginning </w:t>
      </w:r>
      <w:r>
        <w:rPr>
          <w:rFonts w:ascii="Times New Roman" w:cs="Times New Roman" w:eastAsia="Times New Roman" w:hAnsi="Times New Roman"/>
          <w:sz w:val="18"/>
          <w:szCs w:val="18"/>
          <w:b w:val="1"/>
          <w:bCs w:val="1"/>
          <w:color w:val="auto"/>
        </w:rPr>
        <w:t>15th day of the third month</w:t>
      </w:r>
      <w:r>
        <w:rPr>
          <w:rFonts w:ascii="Times New Roman" w:cs="Times New Roman" w:eastAsia="Times New Roman" w:hAnsi="Times New Roman"/>
          <w:sz w:val="18"/>
          <w:szCs w:val="18"/>
          <w:color w:val="auto"/>
        </w:rPr>
        <w:t xml:space="preserve"> of each fiscal quarter and ending after the first full trading day following the release of the Company’s earnings for that quarter.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Interim Earnings Guidance Blackout</w:t>
      </w:r>
      <w:r>
        <w:rPr>
          <w:rFonts w:ascii="Times New Roman" w:cs="Times New Roman" w:eastAsia="Times New Roman" w:hAnsi="Times New Roman"/>
          <w:sz w:val="18"/>
          <w:szCs w:val="18"/>
          <w:color w:val="auto"/>
        </w:rPr>
        <w:t>. The Company may on occasion issue interim earnings guidance or other potentially material information by 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press release, SEC filing on Form 6-K or other means designed to achieve widespread dissemination of the information. You should anticipate that trading will be blacked out while the Company is in the process of assembling the information to be released and until after the first full trading day following the release of such information. The Company will inform you of any such interim blackout.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Event-Specific Blackout</w:t>
      </w:r>
      <w:r>
        <w:rPr>
          <w:rFonts w:ascii="Times New Roman" w:cs="Times New Roman" w:eastAsia="Times New Roman" w:hAnsi="Times New Roman"/>
          <w:sz w:val="18"/>
          <w:szCs w:val="18"/>
          <w:color w:val="auto"/>
        </w:rPr>
        <w:t>. From time to time, an event may occur that is material to the Company and is known by only a few directors, officers and/or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The existence of an event-specific blackout will not be broadly announced. If, however, a person whose trades are subject to pre-clearance requests permission to trade in the Company’s securities during an event-specific blackout, the Legal Department will inform the requesting person of the existence of a blackout period, without disclosing the reason for the blackout. Any person made aware of the existence of an event-specific blackout should not disclose the existence of the blackout to any other person.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if a blackout period is not in effect, at no time may you trade in Company securities if you are in possession of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about the Company. The failure of the Company to notify you of an event-specific blackout will not relieve you of the obligation not to trade while in possession of material nonpublic information.</w:t>
      </w:r>
    </w:p>
    <w:p>
      <w:pPr>
        <w:spacing w:after="0" w:line="175" w:lineRule="exact"/>
        <w:rPr>
          <w:sz w:val="20"/>
          <w:szCs w:val="20"/>
          <w:color w:val="auto"/>
        </w:rPr>
      </w:pPr>
    </w:p>
    <w:p>
      <w:pPr>
        <w:ind w:left="180" w:hanging="172"/>
        <w:spacing w:after="0"/>
        <w:tabs>
          <w:tab w:leader="none" w:pos="18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this Policy and Insider Trading Laws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Reporting Violations and Seeking Advice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refer suspected violations of this policy to the Legal Department. In addition, if you:</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material nonpublic information that you are not authorized to receive or that you do not need to know to perform your employment responsibilities; or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confidential information and are unsure if it is within the definition of material nonpublic information or whether its release might be contrary to a fiduciary or other duty or obligation,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trade based on this information nor share it with anyone until the query has been cleared. To seek advice about what to do under those circumstances, you should contact the Legal Department. Consulting your colleagues may have the effect of exacerbating the problem, as containment of the information, until the legal implications of possessing it are determined, is critical.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5.2 Penalties for Insider Trading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In certain cases, the penalty may even exceed three times the profits made or losses avoided. The maximum penalty may be assessed even against tippers for the profits made or losses avoided by all tippees, including remote tippees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others who may have been tipped by the tippee). Further, civil penalties can be imposed on any person who “controls” a person who engages in illegal insider trading.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Criminal penalties may also be assessed for insider trading. Any person who “willfully” violates any provision of the Exchange Act (or rule promulgated thereunder) may be fined up to $5 million ($25 million for entities) and/or imprisoned for up to 20 years. Subject to applicable law, Company employees who violate this policy may also be subject to discipline by the Company, up to and including termination of employment. Needless to say, a violation of law, or even a governmental or regulatory investigation that does not result in prosecution, can tarnish a person’s reputation and irreparably damage a career.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located or engaged in dealings outside the U.S., be aware that laws regarding insider trading and similar offenses differ from country to country. Employees must abide by the laws in the country where located. However, you are required to comply with this policy and U.S. securities laws even if local law is less restrictive.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Periodic Review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annual basis, the Legal Department will review the following:</w:t>
      </w:r>
    </w:p>
    <w:p>
      <w:pPr>
        <w:spacing w:after="0" w:line="225" w:lineRule="exact"/>
        <w:rPr>
          <w:sz w:val="20"/>
          <w:szCs w:val="20"/>
          <w:color w:val="auto"/>
        </w:rPr>
      </w:pPr>
    </w:p>
    <w:p>
      <w:pPr>
        <w:ind w:left="660" w:hanging="328"/>
        <w:spacing w:after="0"/>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procedures to detect and prevent insider trading;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details of any investigation, either internal or by a regulatory agency, of any suspected insider trading and the results of such investigation;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the current procedures and any improvements that the Legal Department believes desirable;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continuing education plan as it relates to insider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is subject to a periodic review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Monitoring of Control</w:t>
            </w:r>
          </w:p>
        </w:tc>
        <w:tc>
          <w:tcPr>
            <w:tcW w:w="2140" w:type="dxa"/>
            <w:vAlign w:val="bottom"/>
          </w:tcPr>
          <w:p>
            <w:pPr>
              <w:spacing w:after="0"/>
              <w:rPr>
                <w:sz w:val="18"/>
                <w:szCs w:val="18"/>
                <w:color w:val="auto"/>
              </w:rPr>
            </w:pPr>
          </w:p>
        </w:tc>
      </w:tr>
      <w:tr>
        <w:trPr>
          <w:trHeight w:val="2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 Measures</w:t>
            </w:r>
          </w:p>
        </w:tc>
        <w:tc>
          <w:tcPr>
            <w:tcW w:w="22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Frequency</w:t>
            </w: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Responsible Person(s)</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Reporting Frequency</w:t>
            </w:r>
          </w:p>
        </w:tc>
      </w:tr>
      <w:tr>
        <w:trPr>
          <w:trHeight w:val="198"/>
        </w:trPr>
        <w:tc>
          <w:tcPr>
            <w:tcW w:w="2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Policy content review</w:t>
            </w:r>
          </w:p>
        </w:tc>
        <w:tc>
          <w:tcPr>
            <w:tcW w:w="1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Counsel</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Compliance</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Q1</w:t>
            </w: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Calendar</w:t>
            </w:r>
          </w:p>
        </w:tc>
        <w:tc>
          <w:tcPr>
            <w:tcW w:w="2140" w:type="dxa"/>
            <w:vAlign w:val="bottom"/>
            <w:shd w:val="clear" w:color="auto" w:fill="CCEEFF"/>
          </w:tcPr>
          <w:p>
            <w:pPr>
              <w:spacing w:after="0"/>
              <w:rPr>
                <w:sz w:val="20"/>
                <w:szCs w:val="20"/>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Approval</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Every New Version</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COO &amp; Deputy CEO</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Calendar</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 necessary</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3860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Training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organize and provide effective training to all directors, officers and employees.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Such training shall take place on a regular basis, at least annually, and shall be appropriate and proportionate in relation to the employee’s role at the Company and the scale, size, and nature of the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prevent insider trading, the Legal Department will:</w:t>
      </w:r>
    </w:p>
    <w:p>
      <w:pPr>
        <w:spacing w:after="0" w:line="225" w:lineRule="exact"/>
        <w:rPr>
          <w:sz w:val="20"/>
          <w:szCs w:val="20"/>
          <w:color w:val="auto"/>
        </w:rPr>
      </w:pPr>
    </w:p>
    <w:p>
      <w:pPr>
        <w:ind w:left="660" w:hanging="328"/>
        <w:spacing w:after="0"/>
        <w:tabs>
          <w:tab w:leader="none" w:pos="6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this policy is implemented, reviewed and updated annually or as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all employees undergo compliance training annually;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answer questions about the Company’s policy and procedures;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issues of whether information received by certain directors, officers or employees of the Company is material and nonpublic.</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Anyone with questions concerning this Policy or its application, or who is unsure as to whether a transaction might be in conflict with the securities laws and/or this Policy, should contact the Legal Department, which has authority to interpret and implement this Policy. The Global COO &amp; Deputy CEO will administer this Policy as it applies to any trading activity by the Chief Legal Officer.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violation or perceived violation should be reported immediately to the Legal Department. Anonymous reporting of violations or perceived violations may be made through the Company’s Whistleblower Platform.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eToro Group Limited – Insider Trading Policy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www.eToro.com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Introduction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Addendum explains requirements and procedures, which apply to all directors, officers, as well as certain designated employees (collectively, “</w:t>
      </w:r>
      <w:r>
        <w:rPr>
          <w:rFonts w:ascii="Times New Roman" w:cs="Times New Roman" w:eastAsia="Times New Roman" w:hAnsi="Times New Roman"/>
          <w:sz w:val="18"/>
          <w:szCs w:val="18"/>
          <w:b w:val="1"/>
          <w:bCs w:val="1"/>
          <w:color w:val="auto"/>
        </w:rPr>
        <w:t>Restricted Persons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eToro Group Ltd.</w:t>
      </w:r>
      <w:r>
        <w:rPr>
          <w:rFonts w:ascii="Times New Roman" w:cs="Times New Roman" w:eastAsia="Times New Roman" w:hAnsi="Times New Roman"/>
          <w:sz w:val="18"/>
          <w:szCs w:val="18"/>
          <w:color w:val="auto"/>
        </w:rPr>
        <w:t xml:space="preserve"> and its consolidated subsidiaries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have access to material nonpublic information about the Company, and is in addition to and supplements the Company’s insider trading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xml:space="preserve">”). The individuals and the positions of the designated persons subject to this Addendum are listed on attached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remove, change or designate other individuals or positions that are subject to this Addendum and will amend Schedule A from time to time as necessary to reflect such changes or the resignation or change of status of any individual. Please note that this Addendum applies to all Company securities which you hold or may acquire in the future.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read this Addendum carefully. When you have completed your review, please sign the attached acknowledgment form and return it to the Company’s Legal Department.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Rule 10b5-1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prohibition against insider trading, SEC Rule 10b5-1 provides an affirmative defense against insider trading liability under Rule 10b-5. A person subject to this policy can rely on this defense and trade in Company securities, regardless of their awareness of material nonpublic information, if the transaction occurs pursuant to a pre-arranged written trading plan (“</w:t>
      </w:r>
      <w:r>
        <w:rPr>
          <w:rFonts w:ascii="Times New Roman" w:cs="Times New Roman" w:eastAsia="Times New Roman" w:hAnsi="Times New Roman"/>
          <w:sz w:val="18"/>
          <w:szCs w:val="18"/>
          <w:b w:val="1"/>
          <w:bCs w:val="1"/>
          <w:color w:val="auto"/>
        </w:rPr>
        <w:t>Rule 10b5-1 Plan</w:t>
      </w:r>
      <w:r>
        <w:rPr>
          <w:rFonts w:ascii="Times New Roman" w:cs="Times New Roman" w:eastAsia="Times New Roman" w:hAnsi="Times New Roman"/>
          <w:sz w:val="18"/>
          <w:szCs w:val="18"/>
          <w:color w:val="auto"/>
        </w:rPr>
        <w:t>”) that was entered into when the person was not in possession of material nonpublic information and that complies with the requirements of Rule 10b5-1.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Anyone subject to this Addendum who is permitted to enter into a Rule 10b5-1 Plan must submit the Rule 10b5-1 Plan to the Legal Department for approval at least five business days prior to the planned entry into the Rule 10b5-1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do not adopt a Rule 10b5-1 Plan for any planned transaction, you must request and obtain pre-clearance for any transaction involving Company securities in accordance with the pre-clearance procedures of this Addendum. Rule 10b5-1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t>The following requirements apply to all Rule 10b5-1 Plans: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Approval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Anyone subject to this Policy who wishes to enter into a Rule 10b5-1 Plan must submit the Rule 10b5-1 Plan to the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Department for its approval at least five business days prior to the planned entry into the Rule 10b5-1 Plan. In addition, prior approval is required for any amendment or early termination of an effective Rule 10b5-1 Plan.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Entry into a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director or employee may enter into a Rule 10b5-1 Plan only at a time when he or she is not in possession of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nonpublic information regarding the Company or its securities and, if subject to blackout periods, when a blackout period is not in effect under the Insider Trading Policy. Each plan must include a representation that, as of the date of adoption of the plan, the individual is not aware of any material nonpublic information about the Company or its securities, and that the plan is being adopted in good faith and not as a part of a plan or scheme to evade the prohibitions of Rule 10b5-1.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Waiting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waiting periods from the time a plan is adopted until the time of the first trade under the plan must comply with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Rule 10b5-1. Under Rule 10b5-1, plans established by Restricted Persons must include a waiting period consisting of the later of (i) 90 days after the adoption of the plan, or (ii) the period ending two business days following the disclosure of the Company’s financial results in a Form 6-K or Form 20-F for the completed fiscal quarter in which the plan was adopted (but in any event, this waiting period is subject to a maximum of 120 days after adoption of the plan). For all other persons, the waiting period must be at least 30 days from adoption of the plan.</w:t>
      </w:r>
    </w:p>
    <w:p>
      <w:pPr>
        <w:spacing w:after="0" w:line="179"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employees are encouraged to design plans with clear instructions that contemplate spreading smaller trades over a longer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time as opposed to a small number of large trades.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Multiple Plans</w:t>
      </w:r>
      <w:r>
        <w:rPr>
          <w:rFonts w:ascii="Times New Roman" w:cs="Times New Roman" w:eastAsia="Times New Roman" w:hAnsi="Times New Roman"/>
          <w:sz w:val="18"/>
          <w:szCs w:val="18"/>
          <w:color w:val="auto"/>
        </w:rPr>
        <w:t>. An individual entering into a Rule 10b5-1 Plan generally may have only one plan in place at any time. An exception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 applies for certain separate plans with different brokers that would be treated as a single “plan” such as when a person holds Company securities in multiple brokerage accounts. Additionally, an individual may enter into one later-commencing plan so that the waiting period of the later plan can begin to run while an existing plan is in place, provided that the individual does not early terminate the first plan, in which case a full waiting period from the time of such termination must occur. Lastly, individuals may have an additional plan providing only for eligible sell-to-cover transactions, where the plan provides for sales of securities as are necessary to satisfy tax withholding obligations arising exclusively from the vesting of a compensatory stock award.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7" w:name="page378"/>
    <w:bookmarkEnd w:id="377"/>
    <w:p>
      <w:pPr>
        <w:ind w:left="660" w:hanging="328"/>
        <w:spacing w:after="0" w:line="286" w:lineRule="auto"/>
        <w:tabs>
          <w:tab w:leader="none" w:pos="6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Single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 10b5-1 prohibits more than one plan in any 12-month period that is designed to effect a single transaction. Single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plans are generally discouraged.</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to Rule 10b5-1 Plans will be permitted only at a time when: (i) the director or employee is not in possession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nonpublic information and (ii) a blackout period is not in effect (if applicable) under the Policy. Furthermore, any amendment relating to the amount, price or timing of the purchase or sale of securities will be subject to the same waiting periods as would be applicable to a new plan, as described above.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Rule 10b5-1 Plan may be terminated at any time upon advance approval of the Legal Department. However, terminating a Rule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10b5-1 Plan is strongly discouraged because it may call into question whether the plan was entered into and operated in good faith and not as part of a plan or scheme to evade the insider trading rules, which could affect the availability of the Rule 10b5-1 affirmative defense.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Outside Trades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of a Rule 10b5-1 Plan does not preclude trading outside of the plan that otherwise is in accordance with the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directors and employees should be cognizant of the fact that the Rule 10b5-1 affirmative defense will not apply to such trades outside a Rule 10b5-1 Plan. In addition, under Rule 10b5-1, the director or employee may not have further influence over whether, when or how the trades under the plan are made once the plan is put in place, and therefore their trading outside of the plan must not have direct or indirect influence on the trading instructions under the plan. In other words, securities subject to the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underlying unexercised stock options) should not be purchased or sold outside of the plan.</w:t>
      </w:r>
    </w:p>
    <w:p>
      <w:pPr>
        <w:spacing w:after="0" w:line="18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Procedures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Those subject to this Addendum, as well as their spouses, minor children, adult family members sharing the same household and any other person or trust or other entity over whom the individual exercises influence or control over his, her or its securities trading decisions (collectively, “</w:t>
      </w:r>
      <w:r>
        <w:rPr>
          <w:rFonts w:ascii="Times New Roman" w:cs="Times New Roman" w:eastAsia="Times New Roman" w:hAnsi="Times New Roman"/>
          <w:sz w:val="18"/>
          <w:szCs w:val="18"/>
          <w:b w:val="1"/>
          <w:bCs w:val="1"/>
          <w:color w:val="auto"/>
        </w:rPr>
        <w:t>Related Insiders</w:t>
      </w:r>
      <w:r>
        <w:rPr>
          <w:rFonts w:ascii="Times New Roman" w:cs="Times New Roman" w:eastAsia="Times New Roman" w:hAnsi="Times New Roman"/>
          <w:sz w:val="18"/>
          <w:szCs w:val="18"/>
          <w:color w:val="auto"/>
        </w:rPr>
        <w:t>”), may not engage in any transaction involving the Company’s securities (including the exercise of share options with the intention to sell, gifts, loans, contributions to a trust or any other transfers) without first obtaining pre-clearance of the transaction from the Legal Department, unless otherwise permissible in accordance with an approved 10b5-1 Plan as provided above. Each proposed transaction will be evaluated to determine if it raises insider trading concerns or other concerns under federal laws and regulations. Any advice will relate solely to the restraints imposed by law and will not constitute advice regarding the investment aspects of any transaction. Clearance of a transaction must be re-requested if the transaction order is not placed before the lapse of two (2) full calendar days of obtaining pre-clearance. If clearance is denied, the fact of such denial must be kept confidential by the person requesting such clearance.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8" w:name="page379"/>
    <w:bookmarkEnd w:id="378"/>
    <w:p>
      <w:pPr>
        <w:jc w:val="both"/>
        <w:spacing w:after="0" w:line="261" w:lineRule="auto"/>
        <w:rPr>
          <w:sz w:val="20"/>
          <w:szCs w:val="20"/>
          <w:color w:val="auto"/>
        </w:rPr>
      </w:pPr>
      <w:r>
        <w:rPr>
          <w:rFonts w:ascii="Times New Roman" w:cs="Times New Roman" w:eastAsia="Times New Roman" w:hAnsi="Times New Roman"/>
          <w:sz w:val="18"/>
          <w:szCs w:val="18"/>
          <w:color w:val="auto"/>
        </w:rPr>
        <w:t>When requesting pre-clearance, the requestor should carefully consider whether he or she may be aware of any material nonpublic information about the Company, and should describe fully those circumstances to the Legal Department. The requestor should also indicate whether he or she has effected any non-exempt “opposite-way” transactions within the past six months. The requestor should also be prepared to comply with SEC Rule 144 and file Form 144, if advisable, at the time of any sale.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pre-clearance is not required for any trades made pursuant to a pre-arranged Rule 10b5-1 Plan that was approved by the Legal Department prior to adoption. Pre-clearance is also not required for the “Special Transactions” to which the Policy does not apply, subject to certain exceptions described in section 3.4.1 of the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Limitations and Requirements on Resales of the Company’s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Act requires that securities may be sold only pursuant to an effective registration statement or an exemption from the registration requirements. Directors and certain officers who are (or were within the prior 90 days) affiliates of the Company and who wish to sell Company securities may seek a “safe harbor” for their sales to establish an exemption from such registration requirements by complying with the conditions of Rule 144 applicable to affiliates. Such conditions include requirements on the manner of sale, volume limitations, holding periods, and Form 144 filing obligations.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under Rule 144 are broadly defined to include all securities, not just equity securities. The Rule 144 safe harbor is available not only to sales of common and preferred shares,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by affiliates).</w:t>
      </w:r>
    </w:p>
    <w:p>
      <w:pPr>
        <w:spacing w:after="0" w:line="183"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 – Restricted Persons</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 separately]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Johnathan Alexander Assia, certify that:</w:t>
      </w:r>
    </w:p>
    <w:p>
      <w:pPr>
        <w:spacing w:after="0" w:line="225" w:lineRule="exact"/>
        <w:rPr>
          <w:sz w:val="20"/>
          <w:szCs w:val="20"/>
          <w:color w:val="auto"/>
        </w:rPr>
      </w:pPr>
    </w:p>
    <w:p>
      <w:pPr>
        <w:ind w:left="340" w:hanging="332"/>
        <w:spacing w:after="0"/>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eToro Group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Johnathan Alexander Assia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Meron Shani, certify that:</w:t>
      </w:r>
    </w:p>
    <w:p>
      <w:pPr>
        <w:spacing w:after="0" w:line="225" w:lineRule="exact"/>
        <w:rPr>
          <w:sz w:val="20"/>
          <w:szCs w:val="20"/>
          <w:color w:val="auto"/>
        </w:rPr>
      </w:pPr>
    </w:p>
    <w:p>
      <w:pPr>
        <w:ind w:left="340" w:hanging="332"/>
        <w:spacing w:after="0"/>
        <w:tabs>
          <w:tab w:leader="none" w:pos="3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eToro Group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tab/>
        <w:t>/s/ Meron 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Meron Shani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eToro Group Ltd. (the “Company”) for the fiscal year ended December 31, 2025, as filed with the Securities and Exchange Commission on the date hereof (the “Report”), I, Johnathan Alexander Assia,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 2026</w:t>
      </w:r>
    </w:p>
    <w:p>
      <w:pPr>
        <w:spacing w:after="0" w:line="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Johnathan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Johnathan Alexander Assia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340" w:hanging="332"/>
        <w:spacing w:after="0" w:line="284" w:lineRule="auto"/>
        <w:tabs>
          <w:tab w:leader="none" w:pos="340" w:val="left"/>
        </w:tabs>
        <w:numPr>
          <w:ilvl w:val="0"/>
          <w:numId w:val="5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08" w:right="33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22"/>
          <w:szCs w:val="22"/>
          <w:b w:val="1"/>
          <w:bCs w:val="1"/>
          <w:color w:val="auto"/>
        </w:rPr>
        <w:t>Exhibit 13.2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eToro Group Ltd. (the “Company”) for the fiscal year ended December 31, 2025, as filed with the Securities and Exchange Commission on the date hereof (the “Report”), I, Meron Shani,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 2026</w:t>
      </w:r>
    </w:p>
    <w:p>
      <w:pPr>
        <w:spacing w:after="0" w:line="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Meron 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Meron Shani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5" w:lineRule="exact"/>
        <w:rPr>
          <w:sz w:val="20"/>
          <w:szCs w:val="20"/>
          <w:color w:val="auto"/>
        </w:rPr>
      </w:pPr>
    </w:p>
    <w:p>
      <w:pPr>
        <w:ind w:left="340" w:hanging="332"/>
        <w:spacing w:after="0" w:line="284" w:lineRule="auto"/>
        <w:tabs>
          <w:tab w:leader="none" w:pos="340" w:val="left"/>
        </w:tabs>
        <w:numPr>
          <w:ilvl w:val="0"/>
          <w:numId w:val="5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08" w:right="3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333-287430) pertaining to the eToro Group Ltd. 2007 Employee Share Option Plan, eToro Group Ltd. 2021 Share Incentive Plan, as amended, and eToro Group Ltd. 2025 Employee Share Purchase Plan of eToro Group Ltd. of our report dated March 2, 2026, with respect to the consolidated financial statements of eToro Group Ltd. included in this Annual Report (Form 20-F)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17"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Nominating and Governance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1 May 2025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appropriate for the Company to adopt this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be applied to the Executive Officers of the Company and adopts this Policy to be effective as of the Effective Date.</w:t>
      </w:r>
    </w:p>
    <w:p>
      <w:pPr>
        <w:spacing w:after="0" w:line="172" w:lineRule="exact"/>
        <w:rPr>
          <w:sz w:val="20"/>
          <w:szCs w:val="20"/>
          <w:color w:val="auto"/>
        </w:rPr>
      </w:pPr>
    </w:p>
    <w:p>
      <w:pPr>
        <w:ind w:left="660" w:hanging="328"/>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225" w:lineRule="exact"/>
        <w:rPr>
          <w:sz w:val="20"/>
          <w:szCs w:val="20"/>
          <w:color w:val="auto"/>
        </w:rPr>
      </w:pPr>
    </w:p>
    <w:p>
      <w:pPr>
        <w:ind w:left="980" w:hanging="324"/>
        <w:spacing w:after="0"/>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of its Subsidiaries, as applicable.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32" w:lineRule="auto"/>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the effective date of the Nasdaq listing standard,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(ii) after the person became an Executive Officer and (iii) at a time that the Company had a class of securities listed on a national securities exchange or a national securities association.</w:t>
      </w:r>
    </w:p>
    <w:p>
      <w:pPr>
        <w:spacing w:after="0" w:line="19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15 May, 2025</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does not include policy-making functions that are not significant. Both current and former Executive Officers are subject to the Policy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6" w:name="page387"/>
    <w:bookmarkEnd w:id="386"/>
    <w:p>
      <w:pPr>
        <w:jc w:val="both"/>
        <w:ind w:left="324" w:hanging="324"/>
        <w:spacing w:after="0" w:line="258" w:lineRule="auto"/>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IFRS/GAAP or non-IFRS/non-GAAP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7" w:name="page388"/>
    <w:bookmarkEnd w:id="387"/>
    <w:p>
      <w:pPr>
        <w:ind w:left="980" w:hanging="324"/>
        <w:spacing w:after="0"/>
        <w:tabs>
          <w:tab w:leader="none" w:pos="98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of Erroneously Awarded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88" w:lineRule="exact"/>
        <w:rPr>
          <w:sz w:val="20"/>
          <w:szCs w:val="20"/>
          <w:color w:val="auto"/>
        </w:rPr>
      </w:pPr>
    </w:p>
    <w:p>
      <w:pPr>
        <w:ind w:left="660" w:hanging="328"/>
        <w:spacing w:after="0"/>
        <w:tabs>
          <w:tab w:leader="none" w:pos="660" w:val="left"/>
        </w:tabs>
        <w:numPr>
          <w:ilvl w:val="0"/>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Means of Repayment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8" w:name="page389"/>
    <w:bookmarkEnd w:id="388"/>
    <w:p>
      <w:pPr>
        <w:ind w:left="660" w:hanging="328"/>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85" w:lineRule="exact"/>
        <w:rPr>
          <w:sz w:val="20"/>
          <w:szCs w:val="20"/>
          <w:color w:val="auto"/>
        </w:rPr>
      </w:pPr>
    </w:p>
    <w:p>
      <w:pPr>
        <w:ind w:left="660" w:hanging="328"/>
        <w:spacing w:after="0"/>
        <w:tabs>
          <w:tab w:leader="none" w:pos="660"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9" w:name="page390"/>
    <w:bookmarkEnd w:id="38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76" w:lineRule="exact"/>
        <w:rPr>
          <w:sz w:val="20"/>
          <w:szCs w:val="20"/>
          <w:color w:val="auto"/>
        </w:rPr>
      </w:pPr>
    </w:p>
    <w:p>
      <w:pPr>
        <w:ind w:left="660" w:hanging="328"/>
        <w:spacing w:after="0"/>
        <w:tabs>
          <w:tab w:leader="none" w:pos="660"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Nasdaq rules, the Committee may terminate, suspend or amend this Policy at any time in its discretion.</w:t>
      </w:r>
    </w:p>
    <w:p>
      <w:pPr>
        <w:spacing w:after="0" w:line="158" w:lineRule="exact"/>
        <w:rPr>
          <w:sz w:val="20"/>
          <w:szCs w:val="20"/>
          <w:color w:val="auto"/>
        </w:rPr>
      </w:pPr>
    </w:p>
    <w:p>
      <w:pPr>
        <w:ind w:left="660" w:hanging="328"/>
        <w:spacing w:after="0"/>
        <w:tabs>
          <w:tab w:leader="none" w:pos="660"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B1F2A"/>
    <w:multiLevelType w:val="hybridMultilevel"/>
    <w:lvl w:ilvl="0">
      <w:lvlJc w:val="left"/>
      <w:lvlText w:val="☐"/>
      <w:numFmt w:val="bullet"/>
      <w:start w:val="1"/>
    </w:lvl>
  </w:abstractNum>
  <w:abstractNum w:abstractNumId="1">
    <w:nsid w:val="6FBF29CB"/>
    <w:multiLevelType w:val="hybridMultilevel"/>
    <w:lvl w:ilvl="0">
      <w:lvlJc w:val="left"/>
      <w:lvlText w:val="☐"/>
      <w:numFmt w:val="bullet"/>
      <w:start w:val="1"/>
    </w:lvl>
    <w:lvl w:ilvl="1">
      <w:lvlJc w:val="left"/>
      <w:lvlText w:val="☒"/>
      <w:numFmt w:val="bullet"/>
      <w:start w:val="1"/>
    </w:lvl>
  </w:abstractNum>
  <w:abstractNum w:abstractNumId="2">
    <w:nsid w:val="550B8808"/>
    <w:multiLevelType w:val="hybridMultilevel"/>
    <w:lvl w:ilvl="0">
      <w:lvlJc w:val="left"/>
      <w:lvlText w:val="☐"/>
      <w:numFmt w:val="bullet"/>
      <w:start w:val="1"/>
    </w:lvl>
  </w:abstractNum>
  <w:abstractNum w:abstractNumId="3">
    <w:nsid w:val="34CC3ACF"/>
    <w:multiLevelType w:val="hybridMultilevel"/>
    <w:lvl w:ilvl="0">
      <w:lvlJc w:val="left"/>
      <w:lvlText w:val="☐"/>
      <w:numFmt w:val="bullet"/>
      <w:start w:val="1"/>
    </w:lvl>
  </w:abstractNum>
  <w:abstractNum w:abstractNumId="4">
    <w:nsid w:val="4E556261"/>
    <w:multiLevelType w:val="hybridMultilevel"/>
    <w:lvl w:ilvl="0">
      <w:lvlJc w:val="left"/>
      <w:lvlText w:val="●"/>
      <w:numFmt w:val="bullet"/>
      <w:start w:val="1"/>
    </w:lvl>
  </w:abstractNum>
  <w:abstractNum w:abstractNumId="5">
    <w:nsid w:val="4C672FC9"/>
    <w:multiLevelType w:val="hybridMultilevel"/>
    <w:lvl w:ilvl="0">
      <w:lvlJc w:val="left"/>
      <w:lvlText w:val="●"/>
      <w:numFmt w:val="bullet"/>
      <w:start w:val="1"/>
    </w:lvl>
  </w:abstractNum>
  <w:abstractNum w:abstractNumId="6">
    <w:nsid w:val="52A311C3"/>
    <w:multiLevelType w:val="hybridMultilevel"/>
    <w:lvl w:ilvl="0">
      <w:lvlJc w:val="left"/>
      <w:lvlText w:val="●"/>
      <w:numFmt w:val="bullet"/>
      <w:start w:val="1"/>
    </w:lvl>
  </w:abstractNum>
  <w:abstractNum w:abstractNumId="7">
    <w:nsid w:val="44EF6B80"/>
    <w:multiLevelType w:val="hybridMultilevel"/>
    <w:lvl w:ilvl="0">
      <w:lvlJc w:val="left"/>
      <w:lvlText w:val="●"/>
      <w:numFmt w:val="bullet"/>
      <w:start w:val="1"/>
    </w:lvl>
  </w:abstractNum>
  <w:abstractNum w:abstractNumId="8">
    <w:nsid w:val="12FCDE5E"/>
    <w:multiLevelType w:val="hybridMultilevel"/>
    <w:lvl w:ilvl="0">
      <w:lvlJc w:val="left"/>
      <w:lvlText w:val="●"/>
      <w:numFmt w:val="bullet"/>
      <w:start w:val="1"/>
    </w:lvl>
    <w:lvl w:ilvl="1">
      <w:lvlJc w:val="left"/>
      <w:lvlText w:val="o"/>
      <w:numFmt w:val="bullet"/>
      <w:start w:val="1"/>
    </w:lvl>
  </w:abstractNum>
  <w:abstractNum w:abstractNumId="9">
    <w:nsid w:val="4A1D606E"/>
    <w:multiLevelType w:val="hybridMultilevel"/>
    <w:lvl w:ilvl="0">
      <w:lvlJc w:val="left"/>
      <w:lvlText w:val="▪"/>
      <w:numFmt w:val="bullet"/>
      <w:start w:val="1"/>
    </w:lvl>
  </w:abstractNum>
  <w:abstractNum w:abstractNumId="10">
    <w:nsid w:val="4382503"/>
    <w:multiLevelType w:val="hybridMultilevel"/>
    <w:lvl w:ilvl="0">
      <w:lvlJc w:val="left"/>
      <w:lvlText w:val="%1."/>
      <w:numFmt w:val="upperLetter"/>
      <w:start w:val="1"/>
    </w:lvl>
  </w:abstractNum>
  <w:abstractNum w:abstractNumId="11">
    <w:nsid w:val="59B76E28"/>
    <w:multiLevelType w:val="hybridMultilevel"/>
    <w:lvl w:ilvl="0">
      <w:lvlJc w:val="left"/>
      <w:lvlText w:val="▪"/>
      <w:numFmt w:val="bullet"/>
      <w:start w:val="1"/>
    </w:lvl>
  </w:abstractNum>
  <w:abstractNum w:abstractNumId="12">
    <w:nsid w:val="4252C2DA"/>
    <w:multiLevelType w:val="hybridMultilevel"/>
    <w:lvl w:ilvl="0">
      <w:lvlJc w:val="left"/>
      <w:lvlText w:val="▪"/>
      <w:numFmt w:val="bullet"/>
      <w:start w:val="1"/>
    </w:lvl>
  </w:abstractNum>
  <w:abstractNum w:abstractNumId="13">
    <w:nsid w:val="6A92EF4C"/>
    <w:multiLevelType w:val="hybridMultilevel"/>
    <w:lvl w:ilvl="0">
      <w:lvlJc w:val="left"/>
      <w:lvlText w:val="▪"/>
      <w:numFmt w:val="bullet"/>
      <w:start w:val="1"/>
    </w:lvl>
  </w:abstractNum>
  <w:abstractNum w:abstractNumId="14">
    <w:nsid w:val="41ED20D7"/>
    <w:multiLevelType w:val="hybridMultilevel"/>
    <w:lvl w:ilvl="0">
      <w:lvlJc w:val="left"/>
      <w:lvlText w:val="▪"/>
      <w:numFmt w:val="bullet"/>
      <w:start w:val="1"/>
    </w:lvl>
  </w:abstractNum>
  <w:abstractNum w:abstractNumId="15">
    <w:nsid w:val="E6B3F6A"/>
    <w:multiLevelType w:val="hybridMultilevel"/>
    <w:lvl w:ilvl="0">
      <w:lvlJc w:val="left"/>
      <w:lvlText w:val="▪"/>
      <w:numFmt w:val="bullet"/>
      <w:start w:val="1"/>
    </w:lvl>
  </w:abstractNum>
  <w:abstractNum w:abstractNumId="16">
    <w:nsid w:val="3EB21819"/>
    <w:multiLevelType w:val="hybridMultilevel"/>
    <w:lvl w:ilvl="0">
      <w:lvlJc w:val="left"/>
      <w:lvlText w:val="▪"/>
      <w:numFmt w:val="bullet"/>
      <w:start w:val="1"/>
    </w:lvl>
  </w:abstractNum>
  <w:abstractNum w:abstractNumId="17">
    <w:nsid w:val="41531DED"/>
    <w:multiLevelType w:val="hybridMultilevel"/>
    <w:lvl w:ilvl="0">
      <w:lvlJc w:val="left"/>
      <w:lvlText w:val="▪"/>
      <w:numFmt w:val="bullet"/>
      <w:start w:val="1"/>
    </w:lvl>
  </w:abstractNum>
  <w:abstractNum w:abstractNumId="18">
    <w:nsid w:val="6353CD2"/>
    <w:multiLevelType w:val="hybridMultilevel"/>
    <w:lvl w:ilvl="0">
      <w:lvlJc w:val="left"/>
      <w:lvlText w:val="▪"/>
      <w:numFmt w:val="bullet"/>
      <w:start w:val="1"/>
    </w:lvl>
  </w:abstractNum>
  <w:abstractNum w:abstractNumId="19">
    <w:nsid w:val="683CAAD3"/>
    <w:multiLevelType w:val="hybridMultilevel"/>
    <w:lvl w:ilvl="0">
      <w:lvlJc w:val="left"/>
      <w:lvlText w:val="▪"/>
      <w:numFmt w:val="bullet"/>
      <w:start w:val="1"/>
    </w:lvl>
  </w:abstractNum>
  <w:abstractNum w:abstractNumId="20">
    <w:nsid w:val="313C7C99"/>
    <w:multiLevelType w:val="hybridMultilevel"/>
    <w:lvl w:ilvl="0">
      <w:lvlJc w:val="left"/>
      <w:lvlText w:val="▪"/>
      <w:numFmt w:val="bullet"/>
      <w:start w:val="1"/>
    </w:lvl>
  </w:abstractNum>
  <w:abstractNum w:abstractNumId="21">
    <w:nsid w:val="519EB94C"/>
    <w:multiLevelType w:val="hybridMultilevel"/>
    <w:lvl w:ilvl="0">
      <w:lvlJc w:val="left"/>
      <w:lvlText w:val="▪"/>
      <w:numFmt w:val="bullet"/>
      <w:start w:val="1"/>
    </w:lvl>
  </w:abstractNum>
  <w:abstractNum w:abstractNumId="22">
    <w:nsid w:val="39DF2579"/>
    <w:multiLevelType w:val="hybridMultilevel"/>
    <w:lvl w:ilvl="0">
      <w:lvlJc w:val="left"/>
      <w:lvlText w:val="▪"/>
      <w:numFmt w:val="bullet"/>
      <w:start w:val="1"/>
    </w:lvl>
  </w:abstractNum>
  <w:abstractNum w:abstractNumId="23">
    <w:nsid w:val="126E008B"/>
    <w:multiLevelType w:val="hybridMultilevel"/>
    <w:lvl w:ilvl="0">
      <w:lvlJc w:val="left"/>
      <w:lvlText w:val="▪"/>
      <w:numFmt w:val="bullet"/>
      <w:start w:val="1"/>
    </w:lvl>
  </w:abstractNum>
  <w:abstractNum w:abstractNumId="24">
    <w:nsid w:val="34DFBC00"/>
    <w:multiLevelType w:val="hybridMultilevel"/>
    <w:lvl w:ilvl="0">
      <w:lvlJc w:val="left"/>
      <w:lvlText w:val="(%1)"/>
      <w:numFmt w:val="lowerRoman"/>
      <w:start w:val="1"/>
    </w:lvl>
  </w:abstractNum>
  <w:abstractNum w:abstractNumId="25">
    <w:nsid w:val="1F9EC322"/>
    <w:multiLevelType w:val="hybridMultilevel"/>
    <w:lvl w:ilvl="0">
      <w:lvlJc w:val="left"/>
      <w:lvlText w:val="%1."/>
      <w:numFmt w:val="upperLetter"/>
      <w:start w:val="1"/>
    </w:lvl>
  </w:abstractNum>
  <w:abstractNum w:abstractNumId="26">
    <w:nsid w:val="3410ED56"/>
    <w:multiLevelType w:val="hybridMultilevel"/>
    <w:lvl w:ilvl="0">
      <w:lvlJc w:val="left"/>
      <w:lvlText w:val="%1."/>
      <w:numFmt w:val="upperLetter"/>
      <w:start w:val="2"/>
    </w:lvl>
  </w:abstractNum>
  <w:abstractNum w:abstractNumId="27">
    <w:nsid w:val="23C049A"/>
    <w:multiLevelType w:val="hybridMultilevel"/>
    <w:lvl w:ilvl="0">
      <w:lvlJc w:val="left"/>
      <w:lvlText w:val="▪"/>
      <w:numFmt w:val="bullet"/>
      <w:start w:val="1"/>
    </w:lvl>
  </w:abstractNum>
  <w:abstractNum w:abstractNumId="28">
    <w:nsid w:val="5BDA35D4"/>
    <w:multiLevelType w:val="hybridMultilevel"/>
    <w:lvl w:ilvl="0">
      <w:lvlJc w:val="left"/>
      <w:lvlText w:val="▪"/>
      <w:numFmt w:val="bullet"/>
      <w:start w:val="1"/>
    </w:lvl>
  </w:abstractNum>
  <w:abstractNum w:abstractNumId="29">
    <w:nsid w:val="496FB218"/>
    <w:multiLevelType w:val="hybridMultilevel"/>
    <w:lvl w:ilvl="0">
      <w:lvlJc w:val="left"/>
      <w:lvlText w:val="▪"/>
      <w:numFmt w:val="bullet"/>
      <w:start w:val="1"/>
    </w:lvl>
  </w:abstractNum>
  <w:abstractNum w:abstractNumId="30">
    <w:nsid w:val="680EA5D1"/>
    <w:multiLevelType w:val="hybridMultilevel"/>
    <w:lvl w:ilvl="0">
      <w:lvlJc w:val="left"/>
      <w:lvlText w:val="●"/>
      <w:numFmt w:val="bullet"/>
      <w:start w:val="1"/>
    </w:lvl>
  </w:abstractNum>
  <w:abstractNum w:abstractNumId="31">
    <w:nsid w:val="4A9554FE"/>
    <w:multiLevelType w:val="hybridMultilevel"/>
    <w:lvl w:ilvl="0">
      <w:lvlJc w:val="left"/>
      <w:lvlText w:val="▪"/>
      <w:numFmt w:val="bullet"/>
      <w:start w:val="1"/>
    </w:lvl>
  </w:abstractNum>
  <w:abstractNum w:abstractNumId="32">
    <w:nsid w:val="392EDBE4"/>
    <w:multiLevelType w:val="hybridMultilevel"/>
    <w:lvl w:ilvl="0">
      <w:lvlJc w:val="left"/>
      <w:lvlText w:val="▪"/>
      <w:numFmt w:val="bullet"/>
      <w:start w:val="1"/>
    </w:lvl>
  </w:abstractNum>
  <w:abstractNum w:abstractNumId="33">
    <w:nsid w:val="3D1A2DD9"/>
    <w:multiLevelType w:val="hybridMultilevel"/>
    <w:lvl w:ilvl="0">
      <w:lvlJc w:val="left"/>
      <w:lvlText w:val="▪"/>
      <w:numFmt w:val="bullet"/>
      <w:start w:val="1"/>
    </w:lvl>
  </w:abstractNum>
  <w:abstractNum w:abstractNumId="34">
    <w:nsid w:val="7F618FCD"/>
    <w:multiLevelType w:val="hybridMultilevel"/>
    <w:lvl w:ilvl="0">
      <w:lvlJc w:val="left"/>
      <w:lvlText w:val="▪"/>
      <w:numFmt w:val="bullet"/>
      <w:start w:val="1"/>
    </w:lvl>
  </w:abstractNum>
  <w:abstractNum w:abstractNumId="35">
    <w:nsid w:val="7843E45"/>
    <w:multiLevelType w:val="hybridMultilevel"/>
    <w:lvl w:ilvl="0">
      <w:lvlJc w:val="left"/>
      <w:lvlText w:val="▪"/>
      <w:numFmt w:val="bullet"/>
      <w:start w:val="1"/>
    </w:lvl>
  </w:abstractNum>
  <w:abstractNum w:abstractNumId="36">
    <w:nsid w:val="9815DA3"/>
    <w:multiLevelType w:val="hybridMultilevel"/>
    <w:lvl w:ilvl="0">
      <w:lvlJc w:val="left"/>
      <w:lvlText w:val="▪"/>
      <w:numFmt w:val="bullet"/>
      <w:start w:val="1"/>
    </w:lvl>
  </w:abstractNum>
  <w:abstractNum w:abstractNumId="37">
    <w:nsid w:val="5204A191"/>
    <w:multiLevelType w:val="hybridMultilevel"/>
    <w:lvl w:ilvl="0">
      <w:lvlJc w:val="left"/>
      <w:lvlText w:val="▪"/>
      <w:numFmt w:val="bullet"/>
      <w:start w:val="1"/>
    </w:lvl>
  </w:abstractNum>
  <w:abstractNum w:abstractNumId="38">
    <w:nsid w:val="4C73A9C6"/>
    <w:multiLevelType w:val="hybridMultilevel"/>
    <w:lvl w:ilvl="0">
      <w:lvlJc w:val="left"/>
      <w:lvlText w:val="▪"/>
      <w:numFmt w:val="bullet"/>
      <w:start w:val="1"/>
    </w:lvl>
  </w:abstractNum>
  <w:abstractNum w:abstractNumId="39">
    <w:nsid w:val="1C7E3C01"/>
    <w:multiLevelType w:val="hybridMultilevel"/>
    <w:lvl w:ilvl="0">
      <w:lvlJc w:val="left"/>
      <w:lvlText w:val="▪"/>
      <w:numFmt w:val="bullet"/>
      <w:start w:val="1"/>
    </w:lvl>
  </w:abstractNum>
  <w:abstractNum w:abstractNumId="40">
    <w:nsid w:val="1C2201FF"/>
    <w:multiLevelType w:val="hybridMultilevel"/>
    <w:lvl w:ilvl="0">
      <w:lvlJc w:val="left"/>
      <w:lvlText w:val="▪"/>
      <w:numFmt w:val="bullet"/>
      <w:start w:val="1"/>
    </w:lvl>
  </w:abstractNum>
  <w:abstractNum w:abstractNumId="41">
    <w:nsid w:val="50ABCEC9"/>
    <w:multiLevelType w:val="hybridMultilevel"/>
    <w:lvl w:ilvl="0">
      <w:lvlJc w:val="left"/>
      <w:lvlText w:val="▪"/>
      <w:numFmt w:val="bullet"/>
      <w:start w:val="1"/>
    </w:lvl>
    <w:lvl w:ilvl="1">
      <w:lvlJc w:val="left"/>
      <w:lvlText w:val="(%2)"/>
      <w:numFmt w:val="lowerRoman"/>
      <w:start w:val="3"/>
    </w:lvl>
  </w:abstractNum>
  <w:abstractNum w:abstractNumId="42">
    <w:nsid w:val="7635AA2A"/>
    <w:multiLevelType w:val="hybridMultilevel"/>
    <w:lvl w:ilvl="0">
      <w:lvlJc w:val="left"/>
      <w:lvlText w:val="▪"/>
      <w:numFmt w:val="bullet"/>
      <w:start w:val="1"/>
    </w:lvl>
  </w:abstractNum>
  <w:abstractNum w:abstractNumId="43">
    <w:nsid w:val="5E74C4D9"/>
    <w:multiLevelType w:val="hybridMultilevel"/>
    <w:lvl w:ilvl="0">
      <w:lvlJc w:val="left"/>
      <w:lvlText w:val="▪"/>
      <w:numFmt w:val="bullet"/>
      <w:start w:val="1"/>
    </w:lvl>
  </w:abstractNum>
  <w:abstractNum w:abstractNumId="44">
    <w:nsid w:val="3B3EBE15"/>
    <w:multiLevelType w:val="hybridMultilevel"/>
    <w:lvl w:ilvl="0">
      <w:lvlJc w:val="left"/>
      <w:lvlText w:val="▪"/>
      <w:numFmt w:val="bullet"/>
      <w:start w:val="1"/>
    </w:lvl>
  </w:abstractNum>
  <w:abstractNum w:abstractNumId="45">
    <w:nsid w:val="3822CB01"/>
    <w:multiLevelType w:val="hybridMultilevel"/>
    <w:lvl w:ilvl="0">
      <w:lvlJc w:val="left"/>
      <w:lvlText w:val="▪"/>
      <w:numFmt w:val="bullet"/>
      <w:start w:val="1"/>
    </w:lvl>
  </w:abstractNum>
  <w:abstractNum w:abstractNumId="46">
    <w:nsid w:val="6CE00443"/>
    <w:multiLevelType w:val="hybridMultilevel"/>
    <w:lvl w:ilvl="0">
      <w:lvlJc w:val="left"/>
      <w:lvlText w:val="(%1)"/>
      <w:numFmt w:val="decimal"/>
      <w:start w:val="1"/>
    </w:lvl>
  </w:abstractNum>
  <w:abstractNum w:abstractNumId="47">
    <w:nsid w:val="79F0D62F"/>
    <w:multiLevelType w:val="hybridMultilevel"/>
    <w:lvl w:ilvl="0">
      <w:lvlJc w:val="left"/>
      <w:lvlText w:val="(%1)"/>
      <w:numFmt w:val="decimal"/>
      <w:start w:val="2"/>
    </w:lvl>
  </w:abstractNum>
  <w:abstractNum w:abstractNumId="48">
    <w:nsid w:val="7975E8EE"/>
    <w:multiLevelType w:val="hybridMultilevel"/>
    <w:lvl w:ilvl="0">
      <w:lvlJc w:val="left"/>
      <w:lvlText w:val="(%1)"/>
      <w:numFmt w:val="decimal"/>
      <w:start w:val="1"/>
    </w:lvl>
  </w:abstractNum>
  <w:abstractNum w:abstractNumId="49">
    <w:nsid w:val="73154115"/>
    <w:multiLevelType w:val="hybridMultilevel"/>
    <w:lvl w:ilvl="0">
      <w:lvlJc w:val="left"/>
      <w:lvlText w:val="▪"/>
      <w:numFmt w:val="bullet"/>
      <w:start w:val="1"/>
    </w:lvl>
  </w:abstractNum>
  <w:abstractNum w:abstractNumId="50">
    <w:nsid w:val="622D8102"/>
    <w:multiLevelType w:val="hybridMultilevel"/>
    <w:lvl w:ilvl="0">
      <w:lvlJc w:val="left"/>
      <w:lvlText w:val="(%1)"/>
      <w:numFmt w:val="lowerLetter"/>
      <w:start w:val="1"/>
    </w:lvl>
  </w:abstractNum>
  <w:abstractNum w:abstractNumId="51">
    <w:nsid w:val="2AB26587"/>
    <w:multiLevelType w:val="hybridMultilevel"/>
    <w:lvl w:ilvl="0">
      <w:lvlJc w:val="left"/>
      <w:lvlText w:val="▪"/>
      <w:numFmt w:val="bullet"/>
      <w:start w:val="1"/>
    </w:lvl>
  </w:abstractNum>
  <w:abstractNum w:abstractNumId="52">
    <w:nsid w:val="44B3FA61"/>
    <w:multiLevelType w:val="hybridMultilevel"/>
    <w:lvl w:ilvl="0">
      <w:lvlJc w:val="left"/>
      <w:lvlText w:val="%1."/>
      <w:numFmt w:val="upperLetter"/>
      <w:start w:val="3"/>
    </w:lvl>
  </w:abstractNum>
  <w:abstractNum w:abstractNumId="53">
    <w:nsid w:val="1C0CA67C"/>
    <w:multiLevelType w:val="hybridMultilevel"/>
    <w:lvl w:ilvl="0">
      <w:lvlJc w:val="left"/>
      <w:lvlText w:val="▪"/>
      <w:numFmt w:val="bullet"/>
      <w:start w:val="1"/>
    </w:lvl>
  </w:abstractNum>
  <w:abstractNum w:abstractNumId="54">
    <w:nsid w:val="3D206613"/>
    <w:multiLevelType w:val="hybridMultilevel"/>
    <w:lvl w:ilvl="0">
      <w:lvlJc w:val="left"/>
      <w:lvlText w:val="%1."/>
      <w:numFmt w:val="upperLetter"/>
      <w:start w:val="6"/>
    </w:lvl>
  </w:abstractNum>
  <w:abstractNum w:abstractNumId="55">
    <w:nsid w:val="7993B662"/>
    <w:multiLevelType w:val="hybridMultilevel"/>
    <w:lvl w:ilvl="0">
      <w:lvlJc w:val="left"/>
      <w:lvlText w:val="●"/>
      <w:numFmt w:val="bullet"/>
      <w:start w:val="1"/>
    </w:lvl>
  </w:abstractNum>
  <w:abstractNum w:abstractNumId="56">
    <w:nsid w:val="3BAB699E"/>
    <w:multiLevelType w:val="hybridMultilevel"/>
    <w:lvl w:ilvl="0">
      <w:lvlJc w:val="left"/>
      <w:lvlText w:val="*"/>
      <w:numFmt w:val="bullet"/>
      <w:start w:val="1"/>
    </w:lvl>
  </w:abstractNum>
  <w:abstractNum w:abstractNumId="57">
    <w:nsid w:val="71315369"/>
    <w:multiLevelType w:val="hybridMultilevel"/>
    <w:lvl w:ilvl="0">
      <w:lvlJc w:val="left"/>
      <w:lvlText w:val="(%1)"/>
      <w:numFmt w:val="decimal"/>
      <w:start w:val="1"/>
    </w:lvl>
  </w:abstractNum>
  <w:abstractNum w:abstractNumId="58">
    <w:nsid w:val="7BCFBAFC"/>
    <w:multiLevelType w:val="hybridMultilevel"/>
    <w:lvl w:ilvl="0">
      <w:lvlJc w:val="left"/>
      <w:lvlText w:val="(%1)"/>
      <w:numFmt w:val="decimal"/>
      <w:start w:val="6"/>
    </w:lvl>
  </w:abstractNum>
  <w:abstractNum w:abstractNumId="59">
    <w:nsid w:val="17859F72"/>
    <w:multiLevelType w:val="hybridMultilevel"/>
    <w:lvl w:ilvl="0">
      <w:lvlJc w:val="left"/>
      <w:lvlText w:val="%1."/>
      <w:numFmt w:val="upperLetter"/>
      <w:start w:val="1"/>
    </w:lvl>
  </w:abstractNum>
  <w:abstractNum w:abstractNumId="60">
    <w:nsid w:val="3AA10581"/>
    <w:multiLevelType w:val="hybridMultilevel"/>
    <w:lvl w:ilvl="0">
      <w:lvlJc w:val="left"/>
      <w:lvlText w:val="%1."/>
      <w:numFmt w:val="upperLetter"/>
      <w:start w:val="6"/>
    </w:lvl>
  </w:abstractNum>
  <w:abstractNum w:abstractNumId="61">
    <w:nsid w:val="63DE60CD"/>
    <w:multiLevelType w:val="hybridMultilevel"/>
    <w:lvl w:ilvl="0">
      <w:lvlJc w:val="left"/>
      <w:lvlText w:val="•"/>
      <w:numFmt w:val="bullet"/>
      <w:start w:val="1"/>
    </w:lvl>
  </w:abstractNum>
  <w:abstractNum w:abstractNumId="62">
    <w:nsid w:val="621AF471"/>
    <w:multiLevelType w:val="hybridMultilevel"/>
    <w:lvl w:ilvl="0">
      <w:lvlJc w:val="left"/>
      <w:lvlText w:val="•"/>
      <w:numFmt w:val="bullet"/>
      <w:start w:val="1"/>
    </w:lvl>
  </w:abstractNum>
  <w:abstractNum w:abstractNumId="63">
    <w:nsid w:val="73CFE165"/>
    <w:multiLevelType w:val="hybridMultilevel"/>
    <w:lvl w:ilvl="0">
      <w:lvlJc w:val="left"/>
      <w:lvlText w:val="▪"/>
      <w:numFmt w:val="bullet"/>
      <w:start w:val="1"/>
    </w:lvl>
  </w:abstractNum>
  <w:abstractNum w:abstractNumId="64">
    <w:nsid w:val="20F88EA6"/>
    <w:multiLevelType w:val="hybridMultilevel"/>
    <w:lvl w:ilvl="0">
      <w:lvlJc w:val="left"/>
      <w:lvlText w:val="(%1)"/>
      <w:numFmt w:val="decimal"/>
      <w:start w:val="1"/>
    </w:lvl>
  </w:abstractNum>
  <w:abstractNum w:abstractNumId="65">
    <w:nsid w:val="617C843E"/>
    <w:multiLevelType w:val="hybridMultilevel"/>
    <w:lvl w:ilvl="0">
      <w:lvlJc w:val="left"/>
      <w:lvlText w:val="▪"/>
      <w:numFmt w:val="bullet"/>
      <w:start w:val="1"/>
    </w:lvl>
  </w:abstractNum>
  <w:abstractNum w:abstractNumId="66">
    <w:nsid w:val="7B541FAB"/>
    <w:multiLevelType w:val="hybridMultilevel"/>
    <w:lvl w:ilvl="0">
      <w:lvlJc w:val="left"/>
      <w:lvlText w:val="%1."/>
      <w:numFmt w:val="upperLetter"/>
      <w:start w:val="6"/>
    </w:lvl>
  </w:abstractNum>
  <w:abstractNum w:abstractNumId="67">
    <w:nsid w:val="2A79EC49"/>
    <w:multiLevelType w:val="hybridMultilevel"/>
    <w:lvl w:ilvl="0">
      <w:lvlJc w:val="left"/>
      <w:lvlText w:val="%1."/>
      <w:numFmt w:val="upperLetter"/>
      <w:start w:val="9"/>
    </w:lvl>
  </w:abstractNum>
  <w:abstractNum w:abstractNumId="68">
    <w:nsid w:val="338125CF"/>
    <w:multiLevelType w:val="hybridMultilevel"/>
    <w:lvl w:ilvl="0">
      <w:lvlJc w:val="left"/>
      <w:lvlText w:val="%1."/>
      <w:numFmt w:val="upperLetter"/>
      <w:start w:val="10"/>
    </w:lvl>
  </w:abstractNum>
  <w:abstractNum w:abstractNumId="69">
    <w:nsid w:val="47C7C971"/>
    <w:multiLevelType w:val="hybridMultilevel"/>
    <w:lvl w:ilvl="0">
      <w:lvlJc w:val="left"/>
      <w:lvlText w:val="(%1)"/>
      <w:numFmt w:val="decimal"/>
      <w:start w:val="1"/>
    </w:lvl>
  </w:abstractNum>
  <w:abstractNum w:abstractNumId="70">
    <w:nsid w:val="46F8284B"/>
    <w:multiLevelType w:val="hybridMultilevel"/>
    <w:lvl w:ilvl="0">
      <w:lvlJc w:val="left"/>
      <w:lvlText w:val="(%1)"/>
      <w:numFmt w:val="lowerRoman"/>
      <w:start w:val="1"/>
    </w:lvl>
  </w:abstractNum>
  <w:abstractNum w:abstractNumId="71">
    <w:nsid w:val="4FA327CE"/>
    <w:multiLevelType w:val="hybridMultilevel"/>
    <w:lvl w:ilvl="0">
      <w:lvlJc w:val="left"/>
      <w:lvlText w:val="●"/>
      <w:numFmt w:val="bullet"/>
      <w:start w:val="1"/>
    </w:lvl>
  </w:abstractNum>
  <w:abstractNum w:abstractNumId="72">
    <w:nsid w:val="1873983A"/>
    <w:multiLevelType w:val="hybridMultilevel"/>
    <w:lvl w:ilvl="0">
      <w:lvlJc w:val="left"/>
      <w:lvlText w:val="%1"/>
      <w:numFmt w:val="decimal"/>
      <w:start w:val="104"/>
    </w:lvl>
  </w:abstractNum>
  <w:abstractNum w:abstractNumId="73">
    <w:nsid w:val="3D2DD275"/>
    <w:multiLevelType w:val="hybridMultilevel"/>
    <w:lvl w:ilvl="0">
      <w:lvlJc w:val="left"/>
      <w:lvlText w:val="●"/>
      <w:numFmt w:val="bullet"/>
      <w:start w:val="1"/>
    </w:lvl>
  </w:abstractNum>
  <w:abstractNum w:abstractNumId="74">
    <w:nsid w:val="2E17ECA7"/>
    <w:multiLevelType w:val="hybridMultilevel"/>
    <w:lvl w:ilvl="0">
      <w:lvlJc w:val="left"/>
      <w:lvlText w:val="%1."/>
      <w:numFmt w:val="upperLetter"/>
      <w:start w:val="1"/>
    </w:lvl>
  </w:abstractNum>
  <w:abstractNum w:abstractNumId="75">
    <w:nsid w:val="53B2564F"/>
    <w:multiLevelType w:val="hybridMultilevel"/>
    <w:lvl w:ilvl="0">
      <w:lvlJc w:val="left"/>
      <w:lvlText w:val="%1."/>
      <w:numFmt w:val="upperLetter"/>
      <w:start w:val="1"/>
    </w:lvl>
    <w:lvl w:ilvl="1">
      <w:lvlJc w:val="left"/>
      <w:lvlText w:val="(%2)"/>
      <w:numFmt w:val="decimal"/>
      <w:start w:val="1"/>
    </w:lvl>
  </w:abstractNum>
  <w:abstractNum w:abstractNumId="76">
    <w:nsid w:val="75509D76"/>
    <w:multiLevelType w:val="hybridMultilevel"/>
    <w:lvl w:ilvl="0">
      <w:lvlJc w:val="left"/>
      <w:lvlText w:val="%1."/>
      <w:numFmt w:val="upperLetter"/>
      <w:start w:val="2"/>
    </w:lvl>
  </w:abstractNum>
  <w:abstractNum w:abstractNumId="77">
    <w:nsid w:val="1AF7F0EA"/>
    <w:multiLevelType w:val="hybridMultilevel"/>
    <w:lvl w:ilvl="0">
      <w:lvlJc w:val="left"/>
      <w:lvlText w:val="%1."/>
      <w:numFmt w:val="upperLetter"/>
      <w:start w:val="2"/>
    </w:lvl>
    <w:lvl w:ilvl="1">
      <w:lvlJc w:val="left"/>
      <w:lvlText w:val="(%2)"/>
      <w:numFmt w:val="decimal"/>
      <w:start w:val="1"/>
    </w:lvl>
  </w:abstractNum>
  <w:abstractNum w:abstractNumId="78">
    <w:nsid w:val="4DA32C7E"/>
    <w:multiLevelType w:val="hybridMultilevel"/>
    <w:lvl w:ilvl="0">
      <w:lvlJc w:val="left"/>
      <w:lvlText w:val="%1."/>
      <w:numFmt w:val="upperLetter"/>
      <w:start w:val="5"/>
    </w:lvl>
  </w:abstractNum>
  <w:abstractNum w:abstractNumId="79">
    <w:nsid w:val="6EC68664"/>
    <w:multiLevelType w:val="hybridMultilevel"/>
    <w:lvl w:ilvl="0">
      <w:lvlJc w:val="left"/>
      <w:lvlText w:val="%1."/>
      <w:numFmt w:val="upperLetter"/>
      <w:start w:val="8"/>
    </w:lvl>
    <w:lvl w:ilvl="1">
      <w:lvlJc w:val="left"/>
      <w:lvlText w:val="%"/>
      <w:numFmt w:val="bullet"/>
      <w:start w:val="1"/>
    </w:lvl>
  </w:abstractNum>
  <w:abstractNum w:abstractNumId="80">
    <w:nsid w:val="E0D31FF"/>
    <w:multiLevelType w:val="hybridMultilevel"/>
    <w:lvl w:ilvl="0">
      <w:lvlJc w:val="left"/>
      <w:lvlText w:val="%1."/>
      <w:numFmt w:val="upperLetter"/>
      <w:start w:val="9"/>
    </w:lvl>
    <w:lvl w:ilvl="1">
      <w:lvlJc w:val="left"/>
      <w:lvlText w:val="%"/>
      <w:numFmt w:val="bullet"/>
      <w:start w:val="1"/>
    </w:lvl>
  </w:abstractNum>
  <w:abstractNum w:abstractNumId="81">
    <w:nsid w:val="2FD0AD81"/>
    <w:multiLevelType w:val="hybridMultilevel"/>
    <w:lvl w:ilvl="0">
      <w:lvlJc w:val="left"/>
      <w:lvlText w:val="%1."/>
      <w:numFmt w:val="upperLetter"/>
      <w:start w:val="10"/>
    </w:lvl>
  </w:abstractNum>
  <w:abstractNum w:abstractNumId="82">
    <w:nsid w:val="1978EBEB"/>
    <w:multiLevelType w:val="hybridMultilevel"/>
    <w:lvl w:ilvl="0">
      <w:lvlJc w:val="left"/>
      <w:lvlText w:val="%1."/>
      <w:numFmt w:val="upperLetter"/>
      <w:start w:val="12"/>
    </w:lvl>
    <w:lvl w:ilvl="1">
      <w:lvlJc w:val="left"/>
      <w:lvlText w:val="(%2)"/>
      <w:numFmt w:val="decimal"/>
      <w:start w:val="1"/>
    </w:lvl>
  </w:abstractNum>
  <w:abstractNum w:abstractNumId="83">
    <w:nsid w:val="52C12C61"/>
    <w:multiLevelType w:val="hybridMultilevel"/>
    <w:lvl w:ilvl="0">
      <w:lvlJc w:val="left"/>
      <w:lvlText w:val="%1."/>
      <w:numFmt w:val="upperLetter"/>
      <w:start w:val="13"/>
    </w:lvl>
    <w:lvl w:ilvl="1">
      <w:lvlJc w:val="left"/>
      <w:lvlText w:val="(%2)"/>
      <w:numFmt w:val="decimal"/>
      <w:start w:val="1"/>
    </w:lvl>
  </w:abstractNum>
  <w:abstractNum w:abstractNumId="84">
    <w:nsid w:val="4BDD53FD"/>
    <w:multiLevelType w:val="hybridMultilevel"/>
    <w:lvl w:ilvl="0">
      <w:lvlJc w:val="left"/>
      <w:lvlText w:val="%1."/>
      <w:numFmt w:val="upperLetter"/>
      <w:start w:val="14"/>
    </w:lvl>
    <w:lvl w:ilvl="1">
      <w:lvlJc w:val="left"/>
      <w:lvlText w:val="(%2)"/>
      <w:numFmt w:val="decimal"/>
      <w:start w:val="1"/>
    </w:lvl>
  </w:abstractNum>
  <w:abstractNum w:abstractNumId="85">
    <w:nsid w:val="569951FE"/>
    <w:multiLevelType w:val="hybridMultilevel"/>
    <w:lvl w:ilvl="0">
      <w:lvlJc w:val="left"/>
      <w:lvlText w:val="%1."/>
      <w:numFmt w:val="upperLetter"/>
      <w:start w:val="15"/>
    </w:lvl>
  </w:abstractNum>
  <w:abstractNum w:abstractNumId="86">
    <w:nsid w:val="4C54E2C3"/>
    <w:multiLevelType w:val="hybridMultilevel"/>
    <w:lvl w:ilvl="0">
      <w:lvlJc w:val="left"/>
      <w:lvlText w:val="%1."/>
      <w:numFmt w:val="upperLetter"/>
      <w:start w:val="20"/>
    </w:lvl>
    <w:lvl w:ilvl="1">
      <w:lvlJc w:val="left"/>
      <w:lvlText w:val="(%2)"/>
      <w:numFmt w:val="decimal"/>
      <w:start w:val="1"/>
    </w:lvl>
  </w:abstractNum>
  <w:abstractNum w:abstractNumId="87">
    <w:nsid w:val="788BD9B"/>
    <w:multiLevelType w:val="hybridMultilevel"/>
    <w:lvl w:ilvl="0">
      <w:lvlJc w:val="left"/>
      <w:lvlText w:val="%1."/>
      <w:numFmt w:val="upperLetter"/>
      <w:start w:val="22"/>
    </w:lvl>
    <w:lvl w:ilvl="1">
      <w:lvlJc w:val="left"/>
      <w:lvlText w:val="(%2)"/>
      <w:numFmt w:val="decimal"/>
      <w:start w:val="1"/>
    </w:lvl>
  </w:abstractNum>
  <w:abstractNum w:abstractNumId="88">
    <w:nsid w:val="47CAA567"/>
    <w:multiLevelType w:val="hybridMultilevel"/>
    <w:lvl w:ilvl="0">
      <w:lvlJc w:val="left"/>
      <w:lvlText w:val="%1."/>
      <w:numFmt w:val="upperLetter"/>
      <w:start w:val="1"/>
    </w:lvl>
  </w:abstractNum>
  <w:abstractNum w:abstractNumId="89">
    <w:nsid w:val="48249DBF"/>
    <w:multiLevelType w:val="hybridMultilevel"/>
    <w:lvl w:ilvl="0">
      <w:lvlJc w:val="left"/>
      <w:lvlText w:val="●"/>
      <w:numFmt w:val="bullet"/>
      <w:start w:val="1"/>
    </w:lvl>
  </w:abstractNum>
  <w:abstractNum w:abstractNumId="90">
    <w:nsid w:val="1F0E5D0D"/>
    <w:multiLevelType w:val="hybridMultilevel"/>
    <w:lvl w:ilvl="0">
      <w:lvlJc w:val="left"/>
      <w:lvlText w:val="%1."/>
      <w:numFmt w:val="upperLetter"/>
      <w:start w:val="2"/>
    </w:lvl>
    <w:lvl w:ilvl="1">
      <w:lvlJc w:val="left"/>
      <w:lvlText w:val="●"/>
      <w:numFmt w:val="bullet"/>
      <w:start w:val="1"/>
    </w:lvl>
  </w:abstractNum>
  <w:abstractNum w:abstractNumId="91">
    <w:nsid w:val="26BAAE9"/>
    <w:multiLevelType w:val="hybridMultilevel"/>
    <w:lvl w:ilvl="0">
      <w:lvlJc w:val="left"/>
      <w:lvlText w:val="%1."/>
      <w:numFmt w:val="upperLetter"/>
      <w:start w:val="22"/>
    </w:lvl>
    <w:lvl w:ilvl="1">
      <w:lvlJc w:val="left"/>
      <w:lvlText w:val="(%2)"/>
      <w:numFmt w:val="decimal"/>
      <w:start w:val="1"/>
    </w:lvl>
    <w:lvl w:ilvl="2">
      <w:lvlJc w:val="left"/>
      <w:lvlText w:val="●"/>
      <w:numFmt w:val="bullet"/>
      <w:start w:val="1"/>
    </w:lvl>
  </w:abstractNum>
  <w:abstractNum w:abstractNumId="92">
    <w:nsid w:val="2C02FE8C"/>
    <w:multiLevelType w:val="hybridMultilevel"/>
    <w:lvl w:ilvl="0">
      <w:lvlJc w:val="left"/>
      <w:lvlText w:val="%1."/>
      <w:numFmt w:val="upperLetter"/>
      <w:start w:val="1"/>
    </w:lvl>
  </w:abstractNum>
  <w:abstractNum w:abstractNumId="93">
    <w:nsid w:val="129517E"/>
    <w:multiLevelType w:val="hybridMultilevel"/>
    <w:lvl w:ilvl="0">
      <w:lvlJc w:val="left"/>
      <w:lvlText w:val="%1."/>
      <w:numFmt w:val="lowerRoman"/>
      <w:start w:val="1"/>
    </w:lvl>
  </w:abstractNum>
  <w:abstractNum w:abstractNumId="94">
    <w:nsid w:val="763B8C4E"/>
    <w:multiLevelType w:val="hybridMultilevel"/>
    <w:lvl w:ilvl="0">
      <w:lvlJc w:val="left"/>
      <w:lvlText w:val="%1."/>
      <w:numFmt w:val="upperLetter"/>
      <w:start w:val="22"/>
    </w:lvl>
    <w:lvl w:ilvl="1">
      <w:lvlJc w:val="left"/>
      <w:lvlText w:val="(%2)"/>
      <w:numFmt w:val="decimal"/>
      <w:start w:val="2"/>
    </w:lvl>
    <w:lvl w:ilvl="2">
      <w:lvlJc w:val="left"/>
      <w:lvlText w:val="%3."/>
      <w:numFmt w:val="upperLetter"/>
      <w:start w:val="2"/>
    </w:lvl>
    <w:lvl w:ilvl="3">
      <w:lvlJc w:val="left"/>
      <w:lvlText w:val="●"/>
      <w:numFmt w:val="bullet"/>
      <w:start w:val="1"/>
    </w:lvl>
  </w:abstractNum>
  <w:abstractNum w:abstractNumId="95">
    <w:nsid w:val="4CFB8D32"/>
    <w:multiLevelType w:val="hybridMultilevel"/>
    <w:lvl w:ilvl="0">
      <w:lvlJc w:val="left"/>
      <w:lvlText w:val="%1."/>
      <w:numFmt w:val="upperLetter"/>
      <w:start w:val="22"/>
    </w:lvl>
    <w:lvl w:ilvl="1">
      <w:lvlJc w:val="left"/>
      <w:lvlText w:val="(%2)"/>
      <w:numFmt w:val="decimal"/>
      <w:start w:val="4"/>
    </w:lvl>
    <w:lvl w:ilvl="2">
      <w:lvlJc w:val="left"/>
      <w:lvlText w:val="●"/>
      <w:numFmt w:val="bullet"/>
      <w:start w:val="1"/>
    </w:lvl>
  </w:abstractNum>
  <w:abstractNum w:abstractNumId="96">
    <w:nsid w:val="62A5D5BD"/>
    <w:multiLevelType w:val="hybridMultilevel"/>
    <w:lvl w:ilvl="0">
      <w:lvlJc w:val="left"/>
      <w:lvlText w:val="(%1)"/>
      <w:numFmt w:val="decimal"/>
      <w:start w:val="5"/>
    </w:lvl>
  </w:abstractNum>
  <w:abstractNum w:abstractNumId="97">
    <w:nsid w:val="718FABF9"/>
    <w:multiLevelType w:val="hybridMultilevel"/>
    <w:lvl w:ilvl="0">
      <w:lvlJc w:val="left"/>
      <w:lvlText w:val="%1."/>
      <w:numFmt w:val="upperLetter"/>
      <w:start w:val="23"/>
    </w:lvl>
  </w:abstractNum>
  <w:abstractNum w:abstractNumId="98">
    <w:nsid w:val="7775797C"/>
    <w:multiLevelType w:val="hybridMultilevel"/>
    <w:lvl w:ilvl="0">
      <w:lvlJc w:val="left"/>
      <w:lvlText w:val="%1."/>
      <w:numFmt w:val="upperLetter"/>
      <w:start w:val="24"/>
    </w:lvl>
    <w:lvl w:ilvl="1">
      <w:lvlJc w:val="left"/>
      <w:lvlText w:val="(%2)"/>
      <w:numFmt w:val="decimal"/>
      <w:start w:val="1"/>
    </w:lvl>
  </w:abstractNum>
  <w:abstractNum w:abstractNumId="99">
    <w:nsid w:val="1626FB8C"/>
    <w:multiLevelType w:val="hybridMultilevel"/>
    <w:lvl w:ilvl="0">
      <w:lvlJc w:val="left"/>
      <w:lvlText w:val="%1."/>
      <w:numFmt w:val="upperLetter"/>
      <w:start w:val="24"/>
    </w:lvl>
    <w:lvl w:ilvl="1">
      <w:lvlJc w:val="left"/>
      <w:lvlText w:val="(%2)"/>
      <w:numFmt w:val="decimal"/>
      <w:start w:val="2"/>
    </w:lvl>
    <w:lvl w:ilvl="2">
      <w:lvlJc w:val="left"/>
      <w:lvlText w:val="●"/>
      <w:numFmt w:val="bullet"/>
      <w:start w:val="1"/>
    </w:lvl>
  </w:abstractNum>
  <w:abstractNum w:abstractNumId="100">
    <w:nsid w:val="3957756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01">
    <w:nsid w:val="3E6DA1C7"/>
    <w:multiLevelType w:val="hybridMultilevel"/>
    <w:lvl w:ilvl="0">
      <w:lvlJc w:val="left"/>
      <w:lvlText w:val="%1."/>
      <w:numFmt w:val="upperLetter"/>
      <w:start w:val="26"/>
    </w:lvl>
    <w:lvl w:ilvl="1">
      <w:lvlJc w:val="left"/>
      <w:lvlText w:val="(%2)"/>
      <w:numFmt w:val="decimal"/>
      <w:start w:val="1"/>
    </w:lvl>
    <w:lvl w:ilvl="2">
      <w:lvlJc w:val="left"/>
      <w:lvlText w:val="●"/>
      <w:numFmt w:val="bullet"/>
      <w:start w:val="1"/>
    </w:lvl>
  </w:abstractNum>
  <w:abstractNum w:abstractNumId="102">
    <w:nsid w:val="65CA235B"/>
    <w:multiLevelType w:val="hybridMultilevel"/>
    <w:lvl w:ilvl="0">
      <w:lvlJc w:val="left"/>
      <w:lvlText w:val="%1."/>
      <w:numFmt w:val="upperLetter"/>
      <w:start w:val="26"/>
    </w:lvl>
    <w:lvl w:ilvl="1">
      <w:lvlJc w:val="left"/>
      <w:lvlText w:val="(%2)"/>
      <w:numFmt w:val="decimal"/>
      <w:start w:val="2"/>
    </w:lvl>
    <w:lvl w:ilvl="2">
      <w:lvlJc w:val="left"/>
      <w:lvlText w:val="●"/>
      <w:numFmt w:val="bullet"/>
      <w:start w:val="1"/>
    </w:lvl>
  </w:abstractNum>
  <w:abstractNum w:abstractNumId="103">
    <w:nsid w:val="51CB0DA4"/>
    <w:multiLevelType w:val="hybridMultilevel"/>
    <w:lvl w:ilvl="0">
      <w:lvlJc w:val="left"/>
      <w:lvlText w:val="(%1)"/>
      <w:numFmt w:val="decimal"/>
      <w:start w:val="3"/>
    </w:lvl>
  </w:abstractNum>
  <w:abstractNum w:abstractNumId="104">
    <w:nsid w:val="7B9B743C"/>
    <w:multiLevelType w:val="hybridMultilevel"/>
    <w:lvl w:ilvl="0">
      <w:lvlJc w:val="left"/>
      <w:lvlText w:val="-"/>
      <w:numFmt w:val="bullet"/>
      <w:start w:val="1"/>
    </w:lvl>
  </w:abstractNum>
  <w:abstractNum w:abstractNumId="105">
    <w:nsid w:val="13E21002"/>
    <w:multiLevelType w:val="hybridMultilevel"/>
    <w:lvl w:ilvl="0">
      <w:lvlJc w:val="left"/>
      <w:lvlText w:val="-"/>
      <w:numFmt w:val="bullet"/>
      <w:start w:val="1"/>
    </w:lvl>
  </w:abstractNum>
  <w:abstractNum w:abstractNumId="106">
    <w:nsid w:val="257D63F4"/>
    <w:multiLevelType w:val="hybridMultilevel"/>
    <w:lvl w:ilvl="0">
      <w:lvlJc w:val="left"/>
      <w:lvlText w:val="%1."/>
      <w:numFmt w:val="upperLetter"/>
      <w:start w:val="1"/>
    </w:lvl>
    <w:lvl w:ilvl="1">
      <w:lvlJc w:val="left"/>
      <w:lvlText w:val="(%2)"/>
      <w:numFmt w:val="decimal"/>
      <w:start w:val="1"/>
    </w:lvl>
  </w:abstractNum>
  <w:abstractNum w:abstractNumId="107">
    <w:nsid w:val="70EC11B2"/>
    <w:multiLevelType w:val="hybridMultilevel"/>
    <w:lvl w:ilvl="0">
      <w:lvlJc w:val="left"/>
      <w:lvlText w:val="%1."/>
      <w:numFmt w:val="upperLetter"/>
      <w:start w:val="3"/>
    </w:lvl>
  </w:abstractNum>
  <w:abstractNum w:abstractNumId="108">
    <w:nsid w:val="2EDA00ED"/>
    <w:multiLevelType w:val="hybridMultilevel"/>
    <w:lvl w:ilvl="0">
      <w:lvlJc w:val="left"/>
      <w:lvlText w:val="(%1)"/>
      <w:numFmt w:val="decimal"/>
      <w:start w:val="1"/>
    </w:lvl>
  </w:abstractNum>
  <w:abstractNum w:abstractNumId="109">
    <w:nsid w:val="73209072"/>
    <w:multiLevelType w:val="hybridMultilevel"/>
    <w:lvl w:ilvl="0">
      <w:lvlJc w:val="left"/>
      <w:lvlText w:val="(%1)"/>
      <w:numFmt w:val="decimal"/>
      <w:start w:val="1"/>
    </w:lvl>
  </w:abstractNum>
  <w:abstractNum w:abstractNumId="110">
    <w:nsid w:val="5FB29816"/>
    <w:multiLevelType w:val="hybridMultilevel"/>
    <w:lvl w:ilvl="0">
      <w:lvlJc w:val="left"/>
      <w:lvlText w:val="(*)"/>
      <w:numFmt w:val="bullet"/>
      <w:start w:val="1"/>
    </w:lvl>
  </w:abstractNum>
  <w:abstractNum w:abstractNumId="111">
    <w:nsid w:val="3CE732EC"/>
    <w:multiLevelType w:val="hybridMultilevel"/>
    <w:lvl w:ilvl="0">
      <w:lvlJc w:val="left"/>
      <w:lvlText w:val="%1."/>
      <w:numFmt w:val="upperLetter"/>
      <w:start w:val="1"/>
    </w:lvl>
  </w:abstractNum>
  <w:abstractNum w:abstractNumId="112">
    <w:nsid w:val="22F13DF3"/>
    <w:multiLevelType w:val="hybridMultilevel"/>
    <w:lvl w:ilvl="0">
      <w:lvlJc w:val="left"/>
      <w:lvlText w:val="%1."/>
      <w:numFmt w:val="upperLetter"/>
      <w:start w:val="2"/>
    </w:lvl>
  </w:abstractNum>
  <w:abstractNum w:abstractNumId="113">
    <w:nsid w:val="792B8401"/>
    <w:multiLevelType w:val="hybridMultilevel"/>
    <w:lvl w:ilvl="0">
      <w:lvlJc w:val="left"/>
      <w:lvlText w:val="%1."/>
      <w:numFmt w:val="upperLetter"/>
      <w:start w:val="3"/>
    </w:lvl>
  </w:abstractNum>
  <w:abstractNum w:abstractNumId="114">
    <w:nsid w:val="FA85F4D"/>
    <w:multiLevelType w:val="hybridMultilevel"/>
    <w:lvl w:ilvl="0">
      <w:lvlJc w:val="left"/>
      <w:lvlText w:val="%1."/>
      <w:numFmt w:val="upperLetter"/>
      <w:start w:val="1"/>
    </w:lvl>
  </w:abstractNum>
  <w:abstractNum w:abstractNumId="115">
    <w:nsid w:val="6ECE91F0"/>
    <w:multiLevelType w:val="hybridMultilevel"/>
    <w:lvl w:ilvl="0">
      <w:lvlJc w:val="left"/>
      <w:lvlText w:val="%1."/>
      <w:numFmt w:val="upperLetter"/>
      <w:start w:val="1"/>
    </w:lvl>
  </w:abstractNum>
  <w:abstractNum w:abstractNumId="116">
    <w:nsid w:val="4FC4D60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17">
    <w:nsid w:val="5BFD4210"/>
    <w:multiLevelType w:val="hybridMultilevel"/>
    <w:lvl w:ilvl="0">
      <w:lvlJc w:val="left"/>
      <w:lvlText w:val="%1."/>
      <w:numFmt w:val="lowerRoman"/>
      <w:start w:val="1"/>
    </w:lvl>
  </w:abstractNum>
  <w:abstractNum w:abstractNumId="118">
    <w:nsid w:val="76574F8B"/>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4"/>
    </w:lvl>
    <w:lvl w:ilvl="3">
      <w:lvlJc w:val="left"/>
      <w:lvlText w:val="%4."/>
      <w:numFmt w:val="lowerLetter"/>
      <w:start w:val="1"/>
    </w:lvl>
  </w:abstractNum>
  <w:abstractNum w:abstractNumId="119">
    <w:nsid w:val="178F7B67"/>
    <w:multiLevelType w:val="hybridMultilevel"/>
    <w:lvl w:ilvl="0">
      <w:lvlJc w:val="left"/>
      <w:lvlText w:val="(%1)"/>
      <w:numFmt w:val="decimal"/>
      <w:start w:val="4"/>
    </w:lvl>
  </w:abstractNum>
  <w:abstractNum w:abstractNumId="120">
    <w:nsid w:val="2421DFCF"/>
    <w:multiLevelType w:val="hybridMultilevel"/>
    <w:lvl w:ilvl="0">
      <w:lvlJc w:val="left"/>
      <w:lvlText w:val="*"/>
      <w:numFmt w:val="bullet"/>
      <w:start w:val="1"/>
    </w:lvl>
    <w:lvl w:ilvl="1">
      <w:lvlJc w:val="left"/>
      <w:lvlText w:val="%2."/>
      <w:numFmt w:val="upperLetter"/>
      <w:start w:val="3"/>
    </w:lvl>
  </w:abstractNum>
  <w:abstractNum w:abstractNumId="121">
    <w:nsid w:val="1565AC99"/>
    <w:multiLevelType w:val="hybridMultilevel"/>
    <w:lvl w:ilvl="0">
      <w:lvlJc w:val="left"/>
      <w:lvlText w:val="%1."/>
      <w:numFmt w:val="upperLetter"/>
      <w:start w:val="3"/>
    </w:lvl>
  </w:abstractNum>
  <w:abstractNum w:abstractNumId="122">
    <w:nsid w:val="19FB2650"/>
    <w:multiLevelType w:val="hybridMultilevel"/>
    <w:lvl w:ilvl="0">
      <w:lvlJc w:val="left"/>
      <w:lvlText w:val="%1."/>
      <w:numFmt w:val="upperLetter"/>
      <w:start w:val="3"/>
    </w:lvl>
  </w:abstractNum>
  <w:abstractNum w:abstractNumId="123">
    <w:nsid w:val="5024DE5B"/>
    <w:multiLevelType w:val="hybridMultilevel"/>
    <w:lvl w:ilvl="0">
      <w:lvlJc w:val="left"/>
      <w:lvlText w:val="%1."/>
      <w:numFmt w:val="upperLetter"/>
      <w:start w:val="3"/>
    </w:lvl>
  </w:abstractNum>
  <w:abstractNum w:abstractNumId="124">
    <w:nsid w:val="168EFE17"/>
    <w:multiLevelType w:val="hybridMultilevel"/>
    <w:lvl w:ilvl="0">
      <w:lvlJc w:val="left"/>
      <w:lvlText w:val="*"/>
      <w:numFmt w:val="bullet"/>
      <w:start w:val="1"/>
    </w:lvl>
  </w:abstractNum>
  <w:abstractNum w:abstractNumId="125">
    <w:nsid w:val="1036B29F"/>
    <w:multiLevelType w:val="hybridMultilevel"/>
    <w:lvl w:ilvl="0">
      <w:lvlJc w:val="left"/>
      <w:lvlText w:val="%1."/>
      <w:numFmt w:val="upperLetter"/>
      <w:start w:val="4"/>
    </w:lvl>
    <w:lvl w:ilvl="1">
      <w:lvlJc w:val="left"/>
      <w:lvlText w:val="(%2)"/>
      <w:numFmt w:val="decimal"/>
      <w:start w:val="1"/>
    </w:lvl>
  </w:abstractNum>
  <w:abstractNum w:abstractNumId="126">
    <w:nsid w:val="1D206B8E"/>
    <w:multiLevelType w:val="hybridMultilevel"/>
    <w:lvl w:ilvl="0">
      <w:lvlJc w:val="left"/>
      <w:lvlText w:val="%1."/>
      <w:numFmt w:val="upperLetter"/>
      <w:start w:val="4"/>
    </w:lvl>
    <w:lvl w:ilvl="1">
      <w:lvlJc w:val="left"/>
      <w:lvlText w:val="(%2)"/>
      <w:numFmt w:val="decimal"/>
      <w:start w:val="7"/>
    </w:lvl>
  </w:abstractNum>
  <w:abstractNum w:abstractNumId="127">
    <w:nsid w:val="7934D3D4"/>
    <w:multiLevelType w:val="hybridMultilevel"/>
    <w:lvl w:ilvl="0">
      <w:lvlJc w:val="left"/>
      <w:lvlText w:val="%1."/>
      <w:numFmt w:val="upperLetter"/>
      <w:start w:val="1"/>
    </w:lvl>
  </w:abstractNum>
  <w:abstractNum w:abstractNumId="128">
    <w:nsid w:val="1C65E98"/>
    <w:multiLevelType w:val="hybridMultilevel"/>
    <w:lvl w:ilvl="0">
      <w:lvlJc w:val="left"/>
      <w:lvlText w:val="*"/>
      <w:numFmt w:val="bullet"/>
      <w:start w:val="1"/>
    </w:lvl>
  </w:abstractNum>
  <w:abstractNum w:abstractNumId="129">
    <w:nsid w:val="1495E50A"/>
    <w:multiLevelType w:val="hybridMultilevel"/>
    <w:lvl w:ilvl="0">
      <w:lvlJc w:val="left"/>
      <w:lvlText w:val="**"/>
      <w:numFmt w:val="bullet"/>
      <w:start w:val="1"/>
    </w:lvl>
  </w:abstractNum>
  <w:abstractNum w:abstractNumId="130">
    <w:nsid w:val="F5BCF61"/>
    <w:multiLevelType w:val="hybridMultilevel"/>
    <w:lvl w:ilvl="0">
      <w:lvlJc w:val="left"/>
      <w:lvlText w:val="***"/>
      <w:numFmt w:val="bullet"/>
      <w:start w:val="1"/>
    </w:lvl>
  </w:abstractNum>
  <w:abstractNum w:abstractNumId="131">
    <w:nsid w:val="3B1DD403"/>
    <w:multiLevelType w:val="hybridMultilevel"/>
    <w:lvl w:ilvl="0">
      <w:lvlJc w:val="left"/>
      <w:lvlText w:val="%1."/>
      <w:numFmt w:val="upperLetter"/>
      <w:start w:val="3"/>
    </w:lvl>
  </w:abstractNum>
  <w:abstractNum w:abstractNumId="132">
    <w:nsid w:val="530386D1"/>
    <w:multiLevelType w:val="hybridMultilevel"/>
    <w:lvl w:ilvl="0">
      <w:lvlJc w:val="left"/>
      <w:lvlText w:val="(%1)"/>
      <w:numFmt w:val="decimal"/>
      <w:start w:val="1"/>
    </w:lvl>
    <w:lvl w:ilvl="1">
      <w:lvlJc w:val="left"/>
      <w:lvlText w:val="-"/>
      <w:numFmt w:val="bullet"/>
      <w:start w:val="1"/>
    </w:lvl>
  </w:abstractNum>
  <w:abstractNum w:abstractNumId="133">
    <w:nsid w:val="7525F2BC"/>
    <w:multiLevelType w:val="hybridMultilevel"/>
    <w:lvl w:ilvl="0">
      <w:lvlJc w:val="left"/>
      <w:lvlText w:val="(%1)"/>
      <w:numFmt w:val="decimal"/>
      <w:start w:val="2"/>
    </w:lvl>
  </w:abstractNum>
  <w:abstractNum w:abstractNumId="134">
    <w:nsid w:val="CE8E1A7"/>
    <w:multiLevelType w:val="hybridMultilevel"/>
    <w:lvl w:ilvl="0">
      <w:lvlJc w:val="left"/>
      <w:lvlText w:val="%1."/>
      <w:numFmt w:val="upperLetter"/>
      <w:start w:val="4"/>
    </w:lvl>
  </w:abstractNum>
  <w:abstractNum w:abstractNumId="135">
    <w:nsid w:val="4E9EFB0D"/>
    <w:multiLevelType w:val="hybridMultilevel"/>
    <w:lvl w:ilvl="0">
      <w:lvlJc w:val="left"/>
      <w:lvlText w:val="%1."/>
      <w:numFmt w:val="upperLetter"/>
      <w:start w:val="5"/>
    </w:lvl>
  </w:abstractNum>
  <w:abstractNum w:abstractNumId="136">
    <w:nsid w:val="90802BE"/>
    <w:multiLevelType w:val="hybridMultilevel"/>
    <w:lvl w:ilvl="0">
      <w:lvlJc w:val="left"/>
      <w:lvlText w:val="%1."/>
      <w:numFmt w:val="upperLetter"/>
      <w:start w:val="6"/>
    </w:lvl>
  </w:abstractNum>
  <w:abstractNum w:abstractNumId="137">
    <w:nsid w:val="3266459B"/>
    <w:multiLevelType w:val="hybridMultilevel"/>
    <w:lvl w:ilvl="0">
      <w:lvlJc w:val="left"/>
      <w:lvlText w:val="%1."/>
      <w:numFmt w:val="upperLetter"/>
      <w:start w:val="7"/>
    </w:lvl>
  </w:abstractNum>
  <w:abstractNum w:abstractNumId="138">
    <w:nsid w:val="3F8B0CBF"/>
    <w:multiLevelType w:val="hybridMultilevel"/>
    <w:lvl w:ilvl="0">
      <w:lvlJc w:val="left"/>
      <w:lvlText w:val="%1."/>
      <w:numFmt w:val="upperLetter"/>
      <w:start w:val="1"/>
    </w:lvl>
  </w:abstractNum>
  <w:abstractNum w:abstractNumId="139">
    <w:nsid w:val="37E203AB"/>
    <w:multiLevelType w:val="hybridMultilevel"/>
    <w:lvl w:ilvl="0">
      <w:lvlJc w:val="left"/>
      <w:lvlText w:val="%1."/>
      <w:numFmt w:val="upperLetter"/>
      <w:start w:val="1"/>
    </w:lvl>
  </w:abstractNum>
  <w:abstractNum w:abstractNumId="140">
    <w:nsid w:val="2586D60E"/>
    <w:multiLevelType w:val="hybridMultilevel"/>
    <w:lvl w:ilvl="0">
      <w:lvlJc w:val="left"/>
      <w:lvlText w:val="%1."/>
      <w:numFmt w:val="upperLetter"/>
      <w:start w:val="2"/>
    </w:lvl>
  </w:abstractNum>
  <w:abstractNum w:abstractNumId="141">
    <w:nsid w:val="1F3DA4D5"/>
    <w:multiLevelType w:val="hybridMultilevel"/>
    <w:lvl w:ilvl="0">
      <w:lvlJc w:val="left"/>
      <w:lvlText w:val="%1."/>
      <w:numFmt w:val="upperLetter"/>
      <w:start w:val="3"/>
    </w:lvl>
  </w:abstractNum>
  <w:abstractNum w:abstractNumId="142">
    <w:nsid w:val="74C93698"/>
    <w:multiLevelType w:val="hybridMultilevel"/>
    <w:lvl w:ilvl="0">
      <w:lvlJc w:val="left"/>
      <w:lvlText w:val="%1."/>
      <w:numFmt w:val="upperLetter"/>
      <w:start w:val="4"/>
    </w:lvl>
  </w:abstractNum>
  <w:abstractNum w:abstractNumId="143">
    <w:nsid w:val="48781401"/>
    <w:multiLevelType w:val="hybridMultilevel"/>
    <w:lvl w:ilvl="0">
      <w:lvlJc w:val="left"/>
      <w:lvlText w:val="%1."/>
      <w:numFmt w:val="upperLetter"/>
      <w:start w:val="6"/>
    </w:lvl>
  </w:abstractNum>
  <w:abstractNum w:abstractNumId="144">
    <w:nsid w:val="186928D6"/>
    <w:multiLevelType w:val="hybridMultilevel"/>
    <w:lvl w:ilvl="0">
      <w:lvlJc w:val="left"/>
      <w:lvlText w:val="%1."/>
      <w:numFmt w:val="upperLetter"/>
      <w:start w:val="7"/>
    </w:lvl>
  </w:abstractNum>
  <w:abstractNum w:abstractNumId="145">
    <w:nsid w:val="47195E5"/>
    <w:multiLevelType w:val="hybridMultilevel"/>
    <w:lvl w:ilvl="0">
      <w:lvlJc w:val="left"/>
      <w:lvlText w:val="%1."/>
      <w:numFmt w:val="upperLetter"/>
      <w:start w:val="1"/>
    </w:lvl>
  </w:abstractNum>
  <w:abstractNum w:abstractNumId="146">
    <w:nsid w:val="3746A5F2"/>
    <w:multiLevelType w:val="hybridMultilevel"/>
    <w:lvl w:ilvl="0">
      <w:lvlJc w:val="left"/>
      <w:lvlText w:val="(*)"/>
      <w:numFmt w:val="bullet"/>
      <w:start w:val="1"/>
    </w:lvl>
  </w:abstractNum>
  <w:abstractNum w:abstractNumId="147">
    <w:nsid w:val="682DFED6"/>
    <w:multiLevelType w:val="hybridMultilevel"/>
    <w:lvl w:ilvl="0">
      <w:lvlJc w:val="left"/>
      <w:lvlText w:val="(%1)"/>
      <w:numFmt w:val="lowerRoman"/>
      <w:start w:val="1"/>
    </w:lvl>
  </w:abstractNum>
  <w:abstractNum w:abstractNumId="148">
    <w:nsid w:val="606ED7F6"/>
    <w:multiLevelType w:val="hybridMultilevel"/>
    <w:lvl w:ilvl="0">
      <w:lvlJc w:val="left"/>
      <w:lvlText w:val="(%1)"/>
      <w:numFmt w:val="decimal"/>
      <w:start w:val="1"/>
    </w:lvl>
  </w:abstractNum>
  <w:abstractNum w:abstractNumId="149">
    <w:nsid w:val="2D9DF57D"/>
    <w:multiLevelType w:val="hybridMultilevel"/>
    <w:lvl w:ilvl="0">
      <w:lvlJc w:val="left"/>
      <w:lvlText w:val="%1."/>
      <w:numFmt w:val="decimal"/>
      <w:start w:val="1"/>
    </w:lvl>
  </w:abstractNum>
  <w:abstractNum w:abstractNumId="150">
    <w:nsid w:val="7FBD7A3E"/>
    <w:multiLevelType w:val="hybridMultilevel"/>
    <w:lvl w:ilvl="0">
      <w:lvlJc w:val="left"/>
      <w:lvlText w:val="(%1)"/>
      <w:numFmt w:val="lowerLetter"/>
      <w:start w:val="1"/>
    </w:lvl>
  </w:abstractNum>
  <w:abstractNum w:abstractNumId="151">
    <w:nsid w:val="490B7C5"/>
    <w:multiLevelType w:val="hybridMultilevel"/>
    <w:lvl w:ilvl="0">
      <w:lvlJc w:val="left"/>
      <w:lvlText w:val="(%1)"/>
      <w:numFmt w:val="lowerLetter"/>
      <w:start w:val="1"/>
    </w:lvl>
  </w:abstractNum>
  <w:abstractNum w:abstractNumId="152">
    <w:nsid w:val="4303A216"/>
    <w:multiLevelType w:val="hybridMultilevel"/>
    <w:lvl w:ilvl="0">
      <w:lvlJc w:val="left"/>
      <w:lvlText w:val="(%1)"/>
      <w:numFmt w:val="lowerLetter"/>
      <w:start w:val="1"/>
    </w:lvl>
  </w:abstractNum>
  <w:abstractNum w:abstractNumId="153">
    <w:nsid w:val="19B8A08E"/>
    <w:multiLevelType w:val="hybridMultilevel"/>
    <w:lvl w:ilvl="0">
      <w:lvlJc w:val="left"/>
      <w:lvlText w:val="(%1)"/>
      <w:numFmt w:val="lowerLetter"/>
      <w:start w:val="1"/>
    </w:lvl>
  </w:abstractNum>
  <w:abstractNum w:abstractNumId="154">
    <w:nsid w:val="54B59621"/>
    <w:multiLevelType w:val="hybridMultilevel"/>
    <w:lvl w:ilvl="0">
      <w:lvlJc w:val="left"/>
      <w:lvlText w:val="(%1)"/>
      <w:numFmt w:val="lowerLetter"/>
      <w:start w:val="1"/>
    </w:lvl>
  </w:abstractNum>
  <w:abstractNum w:abstractNumId="155">
    <w:nsid w:val="5992A02E"/>
    <w:multiLevelType w:val="hybridMultilevel"/>
    <w:lvl w:ilvl="0">
      <w:lvlJc w:val="left"/>
      <w:lvlText w:val="(%1)"/>
      <w:numFmt w:val="lowerLetter"/>
      <w:start w:val="1"/>
    </w:lvl>
  </w:abstractNum>
  <w:abstractNum w:abstractNumId="156">
    <w:nsid w:val="29EF532D"/>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57">
    <w:nsid w:val="71D601AF"/>
    <w:multiLevelType w:val="hybridMultilevel"/>
    <w:lvl w:ilvl="0">
      <w:lvlJc w:val="left"/>
      <w:lvlText w:val="(%1)"/>
      <w:numFmt w:val="lowerRoman"/>
      <w:start w:val="2"/>
    </w:lvl>
  </w:abstractNum>
  <w:abstractNum w:abstractNumId="158">
    <w:nsid w:val="52C77402"/>
    <w:multiLevelType w:val="hybridMultilevel"/>
    <w:lvl w:ilvl="0">
      <w:lvlJc w:val="left"/>
      <w:lvlText w:val="(%1)"/>
      <w:numFmt w:val="lowerLetter"/>
      <w:start w:val="1"/>
    </w:lvl>
  </w:abstractNum>
  <w:abstractNum w:abstractNumId="159">
    <w:nsid w:val="2BB5B1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0">
    <w:nsid w:val="66BE6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1">
    <w:nsid w:val="62234363"/>
    <w:multiLevelType w:val="hybridMultilevel"/>
    <w:lvl w:ilvl="0">
      <w:lvlJc w:val="left"/>
      <w:lvlText w:val="(%1)"/>
      <w:numFmt w:val="lowerRoman"/>
      <w:start w:val="1"/>
    </w:lvl>
  </w:abstractNum>
  <w:abstractNum w:abstractNumId="162">
    <w:nsid w:val="66D385C9"/>
    <w:multiLevelType w:val="hybridMultilevel"/>
    <w:lvl w:ilvl="0">
      <w:lvlJc w:val="left"/>
      <w:lvlText w:val="(%1)"/>
      <w:numFmt w:val="lowerLetter"/>
      <w:start w:val="1"/>
    </w:lvl>
  </w:abstractNum>
  <w:abstractNum w:abstractNumId="163">
    <w:nsid w:val="596F6D8A"/>
    <w:multiLevelType w:val="hybridMultilevel"/>
    <w:lvl w:ilvl="0">
      <w:lvlJc w:val="left"/>
      <w:lvlText w:val="(%1)"/>
      <w:numFmt w:val="lowerLetter"/>
      <w:start w:val="1"/>
    </w:lvl>
  </w:abstractNum>
  <w:abstractNum w:abstractNumId="164">
    <w:nsid w:val="5749361F"/>
    <w:multiLevelType w:val="hybridMultilevel"/>
    <w:lvl w:ilvl="0">
      <w:lvlJc w:val="left"/>
      <w:lvlText w:val="(%1)"/>
      <w:numFmt w:val="lowerLetter"/>
      <w:start w:val="1"/>
    </w:lvl>
  </w:abstractNum>
  <w:abstractNum w:abstractNumId="165">
    <w:nsid w:val="73BC6770"/>
    <w:multiLevelType w:val="hybridMultilevel"/>
    <w:lvl w:ilvl="0">
      <w:lvlJc w:val="left"/>
      <w:lvlText w:val="(%1)"/>
      <w:numFmt w:val="lowerLetter"/>
      <w:start w:val="1"/>
    </w:lvl>
  </w:abstractNum>
  <w:abstractNum w:abstractNumId="166">
    <w:nsid w:val="280E6897"/>
    <w:multiLevelType w:val="hybridMultilevel"/>
    <w:lvl w:ilvl="0">
      <w:lvlJc w:val="left"/>
      <w:lvlText w:val="(%1)"/>
      <w:numFmt w:val="lowerLetter"/>
      <w:start w:val="1"/>
    </w:lvl>
  </w:abstractNum>
  <w:abstractNum w:abstractNumId="167">
    <w:nsid w:val="605138DE"/>
    <w:multiLevelType w:val="hybridMultilevel"/>
    <w:lvl w:ilvl="0">
      <w:lvlJc w:val="left"/>
      <w:lvlText w:val="(%1)"/>
      <w:numFmt w:val="lowerLetter"/>
      <w:start w:val="1"/>
    </w:lvl>
  </w:abstractNum>
  <w:abstractNum w:abstractNumId="168">
    <w:nsid w:val="2622AD0C"/>
    <w:multiLevelType w:val="hybridMultilevel"/>
    <w:lvl w:ilvl="0">
      <w:lvlJc w:val="left"/>
      <w:lvlText w:val="%1"/>
      <w:numFmt w:val="lowerLetter"/>
      <w:start w:val="1"/>
    </w:lvl>
    <w:lvl w:ilvl="1">
      <w:lvlJc w:val="left"/>
      <w:lvlText w:val="(%2)"/>
      <w:numFmt w:val="lowerLetter"/>
      <w:start w:val="9"/>
    </w:lvl>
  </w:abstractNum>
  <w:abstractNum w:abstractNumId="169">
    <w:nsid w:val="67997556"/>
    <w:multiLevelType w:val="hybridMultilevel"/>
    <w:lvl w:ilvl="0">
      <w:lvlJc w:val="left"/>
      <w:lvlText w:val="(%1)"/>
      <w:numFmt w:val="lowerLetter"/>
      <w:start w:val="10"/>
    </w:lvl>
    <w:lvl w:ilvl="1">
      <w:lvlJc w:val="left"/>
      <w:lvlText w:val="(%2)"/>
      <w:numFmt w:val="lowerLetter"/>
      <w:start w:val="9"/>
    </w:lvl>
  </w:abstractNum>
  <w:abstractNum w:abstractNumId="170">
    <w:nsid w:val="18333C89"/>
    <w:multiLevelType w:val="hybridMultilevel"/>
    <w:lvl w:ilvl="0">
      <w:lvlJc w:val="left"/>
      <w:lvlText w:val="%1"/>
      <w:numFmt w:val="lowerLetter"/>
      <w:start w:val="1"/>
    </w:lvl>
    <w:lvl w:ilvl="1">
      <w:lvlJc w:val="left"/>
      <w:lvlText w:val="(%2)"/>
      <w:numFmt w:val="lowerLetter"/>
      <w:start w:val="35"/>
    </w:lvl>
  </w:abstractNum>
  <w:abstractNum w:abstractNumId="171">
    <w:nsid w:val="4BA9831A"/>
    <w:multiLevelType w:val="hybridMultilevel"/>
    <w:lvl w:ilvl="0">
      <w:lvlJc w:val="left"/>
      <w:lvlText w:val="(%1)"/>
      <w:numFmt w:val="lowerLetter"/>
      <w:start w:val="11"/>
    </w:lvl>
    <w:lvl w:ilvl="1">
      <w:lvlJc w:val="left"/>
      <w:lvlText w:val="%2"/>
      <w:numFmt w:val="lowerLetter"/>
      <w:start w:val="1"/>
    </w:lvl>
  </w:abstractNum>
  <w:abstractNum w:abstractNumId="172">
    <w:nsid w:val="6D71A2B"/>
    <w:multiLevelType w:val="hybridMultilevel"/>
    <w:lvl w:ilvl="0">
      <w:lvlJc w:val="left"/>
      <w:lvlText w:val="(%1)"/>
      <w:numFmt w:val="lowerLetter"/>
      <w:start w:val="1"/>
    </w:lvl>
  </w:abstractNum>
  <w:abstractNum w:abstractNumId="173">
    <w:nsid w:val="CFC7321"/>
    <w:multiLevelType w:val="hybridMultilevel"/>
    <w:lvl w:ilvl="0">
      <w:lvlJc w:val="left"/>
      <w:lvlText w:val="(%1)"/>
      <w:numFmt w:val="lowerRoman"/>
      <w:start w:val="1"/>
    </w:lvl>
    <w:lvl w:ilvl="1">
      <w:lvlJc w:val="left"/>
      <w:lvlText w:val="(%2)"/>
      <w:numFmt w:val="upperLetter"/>
      <w:start w:val="1"/>
    </w:lvl>
  </w:abstractNum>
  <w:abstractNum w:abstractNumId="174">
    <w:nsid w:val="1421971B"/>
    <w:multiLevelType w:val="hybridMultilevel"/>
    <w:lvl w:ilvl="0">
      <w:lvlJc w:val="left"/>
      <w:lvlText w:val="(%1)"/>
      <w:numFmt w:val="lowerRoman"/>
      <w:start w:val="2"/>
    </w:lvl>
  </w:abstractNum>
  <w:abstractNum w:abstractNumId="175">
    <w:nsid w:val="1F404301"/>
    <w:multiLevelType w:val="hybridMultilevel"/>
    <w:lvl w:ilvl="0">
      <w:lvlJc w:val="left"/>
      <w:lvlText w:val="(%1)"/>
      <w:numFmt w:val="lowerLetter"/>
      <w:start w:val="1"/>
    </w:lvl>
    <w:lvl w:ilvl="1">
      <w:lvlJc w:val="left"/>
      <w:lvlText w:val="(%2)"/>
      <w:numFmt w:val="lowerRoman"/>
      <w:start w:val="1"/>
    </w:lvl>
  </w:abstractNum>
  <w:abstractNum w:abstractNumId="176">
    <w:nsid w:val="116E0907"/>
    <w:multiLevelType w:val="hybridMultilevel"/>
    <w:lvl w:ilvl="0">
      <w:lvlJc w:val="left"/>
      <w:lvlText w:val="(%1)"/>
      <w:numFmt w:val="lowerLetter"/>
      <w:start w:val="6"/>
    </w:lvl>
  </w:abstractNum>
  <w:abstractNum w:abstractNumId="177">
    <w:nsid w:val="4B683D0D"/>
    <w:multiLevelType w:val="hybridMultilevel"/>
    <w:lvl w:ilvl="0">
      <w:lvlJc w:val="left"/>
      <w:lvlText w:val="(%1)"/>
      <w:numFmt w:val="lowerLetter"/>
      <w:start w:val="1"/>
    </w:lvl>
  </w:abstractNum>
  <w:abstractNum w:abstractNumId="178">
    <w:nsid w:val="76E41D8"/>
    <w:multiLevelType w:val="hybridMultilevel"/>
    <w:lvl w:ilvl="0">
      <w:lvlJc w:val="left"/>
      <w:lvlText w:val="(%1)"/>
      <w:numFmt w:val="lowerLetter"/>
      <w:start w:val="1"/>
    </w:lvl>
  </w:abstractNum>
  <w:abstractNum w:abstractNumId="179">
    <w:nsid w:val="71DCE0FD"/>
    <w:multiLevelType w:val="hybridMultilevel"/>
    <w:lvl w:ilvl="0">
      <w:lvlJc w:val="left"/>
      <w:lvlText w:val="(%1)"/>
      <w:numFmt w:val="lowerLetter"/>
      <w:start w:val="1"/>
    </w:lvl>
  </w:abstractNum>
  <w:abstractNum w:abstractNumId="180">
    <w:nsid w:val="7906328B"/>
    <w:multiLevelType w:val="hybridMultilevel"/>
    <w:lvl w:ilvl="0">
      <w:lvlJc w:val="left"/>
      <w:lvlText w:val="(%1)"/>
      <w:numFmt w:val="lowerLetter"/>
      <w:start w:val="1"/>
    </w:lvl>
  </w:abstractNum>
  <w:abstractNum w:abstractNumId="181">
    <w:nsid w:val="72BBC16"/>
    <w:multiLevelType w:val="hybridMultilevel"/>
    <w:lvl w:ilvl="0">
      <w:lvlJc w:val="left"/>
      <w:lvlText w:val="(%1)"/>
      <w:numFmt w:val="lowerLetter"/>
      <w:start w:val="1"/>
    </w:lvl>
  </w:abstractNum>
  <w:abstractNum w:abstractNumId="182">
    <w:nsid w:val="766D98C2"/>
    <w:multiLevelType w:val="hybridMultilevel"/>
    <w:lvl w:ilvl="0">
      <w:lvlJc w:val="left"/>
      <w:lvlText w:val="(%1)"/>
      <w:numFmt w:val="lowerLetter"/>
      <w:start w:val="1"/>
    </w:lvl>
  </w:abstractNum>
  <w:abstractNum w:abstractNumId="183">
    <w:nsid w:val="3C09D4A1"/>
    <w:multiLevelType w:val="hybridMultilevel"/>
    <w:lvl w:ilvl="0">
      <w:lvlJc w:val="left"/>
      <w:lvlText w:val="(%1)"/>
      <w:numFmt w:val="lowerLetter"/>
      <w:start w:val="1"/>
    </w:lvl>
  </w:abstractNum>
  <w:abstractNum w:abstractNumId="184">
    <w:nsid w:val="20E45CA4"/>
    <w:multiLevelType w:val="hybridMultilevel"/>
    <w:lvl w:ilvl="0">
      <w:lvlJc w:val="left"/>
      <w:lvlText w:val="(%1)"/>
      <w:numFmt w:val="lowerLetter"/>
      <w:start w:val="1"/>
    </w:lvl>
  </w:abstractNum>
  <w:abstractNum w:abstractNumId="185">
    <w:nsid w:val="4B232EE3"/>
    <w:multiLevelType w:val="hybridMultilevel"/>
    <w:lvl w:ilvl="0">
      <w:lvlJc w:val="left"/>
      <w:lvlText w:val="(%1)"/>
      <w:numFmt w:val="lowerLetter"/>
      <w:start w:val="1"/>
    </w:lvl>
  </w:abstractNum>
  <w:abstractNum w:abstractNumId="186">
    <w:nsid w:val="159C74CF"/>
    <w:multiLevelType w:val="hybridMultilevel"/>
    <w:lvl w:ilvl="0">
      <w:lvlJc w:val="left"/>
      <w:lvlText w:val="(%1)"/>
      <w:numFmt w:val="lowerLetter"/>
      <w:start w:val="1"/>
    </w:lvl>
    <w:lvl w:ilvl="1">
      <w:lvlJc w:val="left"/>
      <w:lvlText w:val="(%2)"/>
      <w:numFmt w:val="lowerRoman"/>
      <w:start w:val="1"/>
    </w:lvl>
  </w:abstractNum>
  <w:abstractNum w:abstractNumId="187">
    <w:nsid w:val="4AD3AFD2"/>
    <w:multiLevelType w:val="hybridMultilevel"/>
    <w:lvl w:ilvl="0">
      <w:lvlJc w:val="left"/>
      <w:lvlText w:val="(%1)"/>
      <w:numFmt w:val="lowerLetter"/>
      <w:start w:val="3"/>
    </w:lvl>
  </w:abstractNum>
  <w:abstractNum w:abstractNumId="188">
    <w:nsid w:val="3CF93092"/>
    <w:multiLevelType w:val="hybridMultilevel"/>
    <w:lvl w:ilvl="0">
      <w:lvlJc w:val="left"/>
      <w:lvlText w:val="%1"/>
      <w:numFmt w:val="lowerRoman"/>
      <w:start w:val="1"/>
    </w:lvl>
    <w:lvl w:ilvl="1">
      <w:lvlJc w:val="left"/>
      <w:lvlText w:val="(%2)"/>
      <w:numFmt w:val="lowerRoman"/>
      <w:start w:val="1"/>
    </w:lvl>
  </w:abstractNum>
  <w:abstractNum w:abstractNumId="189">
    <w:nsid w:val="6863E8D2"/>
    <w:multiLevelType w:val="hybridMultilevel"/>
    <w:lvl w:ilvl="0">
      <w:lvlJc w:val="left"/>
      <w:lvlText w:val="(%1)"/>
      <w:numFmt w:val="lowerRoman"/>
      <w:start w:val="2"/>
    </w:lvl>
    <w:lvl w:ilvl="1">
      <w:lvlJc w:val="left"/>
      <w:lvlText w:val="%2"/>
      <w:numFmt w:val="lowerRoman"/>
      <w:start w:val="1"/>
    </w:lvl>
  </w:abstractNum>
  <w:abstractNum w:abstractNumId="190">
    <w:nsid w:val="76896198"/>
    <w:multiLevelType w:val="hybridMultilevel"/>
    <w:lvl w:ilvl="0">
      <w:lvlJc w:val="left"/>
      <w:lvlText w:val="(%1)"/>
      <w:numFmt w:val="lowerLetter"/>
      <w:start w:val="9"/>
    </w:lvl>
    <w:lvl w:ilvl="1">
      <w:lvlJc w:val="left"/>
      <w:lvlText w:val="(%2)"/>
      <w:numFmt w:val="lowerRoman"/>
      <w:start w:val="1"/>
    </w:lvl>
  </w:abstractNum>
  <w:abstractNum w:abstractNumId="191">
    <w:nsid w:val="4365174B"/>
    <w:multiLevelType w:val="hybridMultilevel"/>
    <w:lvl w:ilvl="0">
      <w:lvlJc w:val="left"/>
      <w:lvlText w:val="(%1)"/>
      <w:numFmt w:val="lowerLetter"/>
      <w:start w:val="11"/>
    </w:lvl>
  </w:abstractNum>
  <w:abstractNum w:abstractNumId="192">
    <w:nsid w:val="4A872C35"/>
    <w:multiLevelType w:val="hybridMultilevel"/>
    <w:lvl w:ilvl="0">
      <w:lvlJc w:val="left"/>
      <w:lvlText w:val="(%1)"/>
      <w:numFmt w:val="lowerLetter"/>
      <w:start w:val="12"/>
    </w:lvl>
    <w:lvl w:ilvl="1">
      <w:lvlJc w:val="left"/>
      <w:lvlText w:val="(%2)"/>
      <w:numFmt w:val="lowerRoman"/>
      <w:start w:val="1"/>
    </w:lvl>
  </w:abstractNum>
  <w:abstractNum w:abstractNumId="193">
    <w:nsid w:val="5D5CE761"/>
    <w:multiLevelType w:val="hybridMultilevel"/>
    <w:lvl w:ilvl="0">
      <w:lvlJc w:val="left"/>
      <w:lvlText w:val="(%1)"/>
      <w:numFmt w:val="lowerLetter"/>
      <w:start w:val="1"/>
    </w:lvl>
  </w:abstractNum>
  <w:abstractNum w:abstractNumId="194">
    <w:nsid w:val="1CD484D5"/>
    <w:multiLevelType w:val="hybridMultilevel"/>
    <w:lvl w:ilvl="0">
      <w:lvlJc w:val="left"/>
      <w:lvlText w:val="(%1)"/>
      <w:numFmt w:val="lowerLetter"/>
      <w:start w:val="1"/>
    </w:lvl>
  </w:abstractNum>
  <w:abstractNum w:abstractNumId="195">
    <w:nsid w:val="21D06255"/>
    <w:multiLevelType w:val="hybridMultilevel"/>
    <w:lvl w:ilvl="0">
      <w:lvlJc w:val="left"/>
      <w:lvlText w:val="(%1)"/>
      <w:numFmt w:val="lowerLetter"/>
      <w:start w:val="1"/>
    </w:lvl>
  </w:abstractNum>
  <w:abstractNum w:abstractNumId="196">
    <w:nsid w:val="51194ED1"/>
    <w:multiLevelType w:val="hybridMultilevel"/>
    <w:lvl w:ilvl="0">
      <w:lvlJc w:val="left"/>
      <w:lvlText w:val="(%1)"/>
      <w:numFmt w:val="lowerLetter"/>
      <w:start w:val="1"/>
    </w:lvl>
  </w:abstractNum>
  <w:abstractNum w:abstractNumId="197">
    <w:nsid w:val="44E2ED6C"/>
    <w:multiLevelType w:val="hybridMultilevel"/>
    <w:lvl w:ilvl="0">
      <w:lvlJc w:val="left"/>
      <w:lvlText w:val="(%1)"/>
      <w:numFmt w:val="lowerLetter"/>
      <w:start w:val="1"/>
    </w:lvl>
    <w:lvl w:ilvl="1">
      <w:lvlJc w:val="left"/>
      <w:lvlText w:val="(%2)"/>
      <w:numFmt w:val="lowerRoman"/>
      <w:start w:val="1"/>
    </w:lvl>
  </w:abstractNum>
  <w:abstractNum w:abstractNumId="198">
    <w:nsid w:val="2219B33"/>
    <w:multiLevelType w:val="hybridMultilevel"/>
    <w:lvl w:ilvl="0">
      <w:lvlJc w:val="left"/>
      <w:lvlText w:val="(%1)"/>
      <w:numFmt w:val="lowerLetter"/>
      <w:start w:val="1"/>
    </w:lvl>
  </w:abstractNum>
  <w:abstractNum w:abstractNumId="199">
    <w:nsid w:val="773BFBDD"/>
    <w:multiLevelType w:val="hybridMultilevel"/>
    <w:lvl w:ilvl="0">
      <w:lvlJc w:val="left"/>
      <w:lvlText w:val="(%1)"/>
      <w:numFmt w:val="lowerLetter"/>
      <w:start w:val="1"/>
    </w:lvl>
  </w:abstractNum>
  <w:abstractNum w:abstractNumId="200">
    <w:nsid w:val="2C7C62C2"/>
    <w:multiLevelType w:val="hybridMultilevel"/>
    <w:lvl w:ilvl="0">
      <w:lvlJc w:val="left"/>
      <w:lvlText w:val="(%1)"/>
      <w:numFmt w:val="lowerLetter"/>
      <w:start w:val="1"/>
    </w:lvl>
  </w:abstractNum>
  <w:abstractNum w:abstractNumId="201">
    <w:nsid w:val="1A54D7BC"/>
    <w:multiLevelType w:val="hybridMultilevel"/>
    <w:lvl w:ilvl="0">
      <w:lvlJc w:val="left"/>
      <w:lvlText w:val="(%1)"/>
      <w:numFmt w:val="lowerLetter"/>
      <w:start w:val="1"/>
    </w:lvl>
  </w:abstractNum>
  <w:abstractNum w:abstractNumId="202">
    <w:nsid w:val="42E57EF7"/>
    <w:multiLevelType w:val="hybridMultilevel"/>
    <w:lvl w:ilvl="0">
      <w:lvlJc w:val="left"/>
      <w:lvlText w:val="(%1)"/>
      <w:numFmt w:val="lowerLetter"/>
      <w:start w:val="1"/>
    </w:lvl>
    <w:lvl w:ilvl="1">
      <w:lvlJc w:val="left"/>
      <w:lvlText w:val="(%2)"/>
      <w:numFmt w:val="lowerRoman"/>
      <w:start w:val="1"/>
    </w:lvl>
  </w:abstractNum>
  <w:abstractNum w:abstractNumId="203">
    <w:nsid w:val="33537CED"/>
    <w:multiLevelType w:val="hybridMultilevel"/>
    <w:lvl w:ilvl="0">
      <w:lvlJc w:val="left"/>
      <w:lvlText w:val="%1"/>
      <w:numFmt w:val="lowerLetter"/>
      <w:start w:val="1"/>
    </w:lvl>
    <w:lvl w:ilvl="1">
      <w:lvlJc w:val="left"/>
      <w:lvlText w:val="(%2)"/>
      <w:numFmt w:val="lowerRoman"/>
      <w:start w:val="9"/>
    </w:lvl>
  </w:abstractNum>
  <w:abstractNum w:abstractNumId="204">
    <w:nsid w:val="27514ADE"/>
    <w:multiLevelType w:val="hybridMultilevel"/>
    <w:lvl w:ilvl="0">
      <w:lvlJc w:val="left"/>
      <w:lvlText w:val="(%1)"/>
      <w:numFmt w:val="lowerLetter"/>
      <w:start w:val="2"/>
    </w:lvl>
    <w:lvl w:ilvl="1">
      <w:lvlJc w:val="left"/>
      <w:lvlText w:val="(%2)"/>
      <w:numFmt w:val="lowerRoman"/>
      <w:start w:val="1"/>
    </w:lvl>
  </w:abstractNum>
  <w:abstractNum w:abstractNumId="205">
    <w:nsid w:val="57071613"/>
    <w:multiLevelType w:val="hybridMultilevel"/>
    <w:lvl w:ilvl="0">
      <w:lvlJc w:val="left"/>
      <w:lvlText w:val="(%1)"/>
      <w:numFmt w:val="lowerLetter"/>
      <w:start w:val="6"/>
    </w:lvl>
  </w:abstractNum>
  <w:abstractNum w:abstractNumId="206">
    <w:nsid w:val="5293BFEF"/>
    <w:multiLevelType w:val="hybridMultilevel"/>
    <w:lvl w:ilvl="0">
      <w:lvlJc w:val="left"/>
      <w:lvlText w:val="(%1)"/>
      <w:numFmt w:val="lowerRoman"/>
      <w:start w:val="1"/>
    </w:lvl>
  </w:abstractNum>
  <w:abstractNum w:abstractNumId="207">
    <w:nsid w:val="38BF53E5"/>
    <w:multiLevelType w:val="hybridMultilevel"/>
    <w:lvl w:ilvl="0">
      <w:lvlJc w:val="left"/>
      <w:lvlText w:val="(%1)"/>
      <w:numFmt w:val="lowerLetter"/>
      <w:start w:val="8"/>
    </w:lvl>
  </w:abstractNum>
  <w:abstractNum w:abstractNumId="208">
    <w:nsid w:val="226F5320"/>
    <w:multiLevelType w:val="hybridMultilevel"/>
    <w:lvl w:ilvl="0">
      <w:lvlJc w:val="left"/>
      <w:lvlText w:val="(%1)"/>
      <w:numFmt w:val="lowerLetter"/>
      <w:start w:val="1"/>
    </w:lvl>
  </w:abstractNum>
  <w:abstractNum w:abstractNumId="209">
    <w:nsid w:val="5A0201C7"/>
    <w:multiLevelType w:val="hybridMultilevel"/>
    <w:lvl w:ilvl="0">
      <w:lvlJc w:val="left"/>
      <w:lvlText w:val="(%1)"/>
      <w:numFmt w:val="lowerLetter"/>
      <w:start w:val="1"/>
    </w:lvl>
  </w:abstractNum>
  <w:abstractNum w:abstractNumId="210">
    <w:nsid w:val="2A9C34E2"/>
    <w:multiLevelType w:val="hybridMultilevel"/>
    <w:lvl w:ilvl="0">
      <w:lvlJc w:val="left"/>
      <w:lvlText w:val="(%1)"/>
      <w:numFmt w:val="lowerLetter"/>
      <w:start w:val="1"/>
    </w:lvl>
  </w:abstractNum>
  <w:abstractNum w:abstractNumId="211">
    <w:nsid w:val="1B7585AB"/>
    <w:multiLevelType w:val="hybridMultilevel"/>
    <w:lvl w:ilvl="0">
      <w:lvlJc w:val="left"/>
      <w:lvlText w:val="%1."/>
      <w:numFmt w:val="decimal"/>
      <w:start w:val="2"/>
    </w:lvl>
  </w:abstractNum>
  <w:abstractNum w:abstractNumId="212">
    <w:nsid w:val="612DBDD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3">
    <w:nsid w:val="2109CDA4"/>
    <w:multiLevelType w:val="hybridMultilevel"/>
    <w:lvl w:ilvl="0">
      <w:lvlJc w:val="left"/>
      <w:lvlText w:val="(%1)"/>
      <w:numFmt w:val="lowerRoman"/>
      <w:start w:val="3"/>
    </w:lvl>
  </w:abstractNum>
  <w:abstractNum w:abstractNumId="214">
    <w:nsid w:val="577F5A4D"/>
    <w:multiLevelType w:val="hybridMultilevel"/>
    <w:lvl w:ilvl="0">
      <w:lvlJc w:val="left"/>
      <w:lvlText w:val="(%1)"/>
      <w:numFmt w:val="lowerLetter"/>
      <w:start w:val="2"/>
    </w:lvl>
    <w:lvl w:ilvl="1">
      <w:lvlJc w:val="left"/>
      <w:lvlText w:val="(%2)"/>
      <w:numFmt w:val="lowerRoman"/>
      <w:start w:val="1"/>
    </w:lvl>
  </w:abstractNum>
  <w:abstractNum w:abstractNumId="215">
    <w:nsid w:val="2121A81"/>
    <w:multiLevelType w:val="hybridMultilevel"/>
    <w:lvl w:ilvl="0">
      <w:lvlJc w:val="left"/>
      <w:lvlText w:val="%1"/>
      <w:numFmt w:val="decimal"/>
      <w:start w:val="1"/>
    </w:lvl>
    <w:lvl w:ilvl="1">
      <w:lvlJc w:val="left"/>
      <w:lvlText w:val="(%2)"/>
      <w:numFmt w:val="lowerLetter"/>
      <w:start w:val="1"/>
    </w:lvl>
  </w:abstractNum>
  <w:abstractNum w:abstractNumId="216">
    <w:nsid w:val="6C2CFC88"/>
    <w:multiLevelType w:val="hybridMultilevel"/>
    <w:lvl w:ilvl="0">
      <w:lvlJc w:val="left"/>
      <w:lvlText w:val="%1."/>
      <w:numFmt w:val="decimal"/>
      <w:start w:val="3"/>
    </w:lvl>
    <w:lvl w:ilvl="1">
      <w:lvlJc w:val="left"/>
      <w:lvlText w:val="%2"/>
      <w:numFmt w:val="lowerLetter"/>
      <w:start w:val="1"/>
    </w:lvl>
  </w:abstractNum>
  <w:abstractNum w:abstractNumId="217">
    <w:nsid w:val="6D1BCF1C"/>
    <w:multiLevelType w:val="hybridMultilevel"/>
    <w:lvl w:ilvl="0">
      <w:lvlJc w:val="left"/>
      <w:lvlText w:val="%1."/>
      <w:numFmt w:val="decimal"/>
      <w:start w:val="4"/>
    </w:lvl>
  </w:abstractNum>
  <w:abstractNum w:abstractNumId="218">
    <w:nsid w:val="4CE5CA53"/>
    <w:multiLevelType w:val="hybridMultilevel"/>
    <w:lvl w:ilvl="0">
      <w:lvlJc w:val="left"/>
      <w:lvlText w:val="(%1)"/>
      <w:numFmt w:val="lowerLetter"/>
      <w:start w:val="1"/>
    </w:lvl>
  </w:abstractNum>
  <w:abstractNum w:abstractNumId="219">
    <w:nsid w:val="29262D1A"/>
    <w:multiLevelType w:val="hybridMultilevel"/>
    <w:lvl w:ilvl="0">
      <w:lvlJc w:val="left"/>
      <w:lvlText w:val="(%1)"/>
      <w:numFmt w:val="lowerLetter"/>
      <w:start w:val="1"/>
    </w:lvl>
  </w:abstractNum>
  <w:abstractNum w:abstractNumId="220">
    <w:nsid w:val="557FB7EE"/>
    <w:multiLevelType w:val="hybridMultilevel"/>
    <w:lvl w:ilvl="0">
      <w:lvlJc w:val="left"/>
      <w:lvlText w:val="(%1)"/>
      <w:numFmt w:val="lowerLetter"/>
      <w:start w:val="1"/>
    </w:lvl>
  </w:abstractNum>
  <w:abstractNum w:abstractNumId="221">
    <w:nsid w:val="436F2BEB"/>
    <w:multiLevelType w:val="hybridMultilevel"/>
    <w:lvl w:ilvl="0">
      <w:lvlJc w:val="left"/>
      <w:lvlText w:val="%1."/>
      <w:numFmt w:val="decimal"/>
      <w:start w:val="5"/>
    </w:lvl>
  </w:abstractNum>
  <w:abstractNum w:abstractNumId="222">
    <w:nsid w:val="6C8B4466"/>
    <w:multiLevelType w:val="hybridMultilevel"/>
    <w:lvl w:ilvl="0">
      <w:lvlJc w:val="left"/>
      <w:lvlText w:val="(%1)"/>
      <w:numFmt w:val="lowerLetter"/>
      <w:start w:val="1"/>
    </w:lvl>
    <w:lvl w:ilvl="1">
      <w:lvlJc w:val="left"/>
      <w:lvlText w:val="(%2)"/>
      <w:numFmt w:val="lowerRoman"/>
      <w:start w:val="1"/>
    </w:lvl>
  </w:abstractNum>
  <w:abstractNum w:abstractNumId="223">
    <w:nsid w:val="2006E424"/>
    <w:multiLevelType w:val="hybridMultilevel"/>
    <w:lvl w:ilvl="0">
      <w:lvlJc w:val="left"/>
      <w:lvlText w:val="(%1)"/>
      <w:numFmt w:val="lowerLetter"/>
      <w:start w:val="1"/>
    </w:lvl>
    <w:lvl w:ilvl="1">
      <w:lvlJc w:val="left"/>
      <w:lvlText w:val="(%2)"/>
      <w:numFmt w:val="lowerRoman"/>
      <w:start w:val="1"/>
    </w:lvl>
  </w:abstractNum>
  <w:abstractNum w:abstractNumId="224">
    <w:nsid w:val="20CC134C"/>
    <w:multiLevelType w:val="hybridMultilevel"/>
    <w:lvl w:ilvl="0">
      <w:lvlJc w:val="left"/>
      <w:lvlText w:val="(%1)"/>
      <w:numFmt w:val="lowerLetter"/>
      <w:start w:val="1"/>
    </w:lvl>
  </w:abstractNum>
  <w:abstractNum w:abstractNumId="225">
    <w:nsid w:val="95FC93B"/>
    <w:multiLevelType w:val="hybridMultilevel"/>
    <w:lvl w:ilvl="0">
      <w:lvlJc w:val="left"/>
      <w:lvlText w:val="%1."/>
      <w:numFmt w:val="decimal"/>
      <w:start w:val="6"/>
    </w:lvl>
  </w:abstractNum>
  <w:abstractNum w:abstractNumId="226">
    <w:nsid w:val="41D74679"/>
    <w:multiLevelType w:val="hybridMultilevel"/>
    <w:lvl w:ilvl="0">
      <w:lvlJc w:val="left"/>
      <w:lvlText w:val="(%1)"/>
      <w:numFmt w:val="lowerLetter"/>
      <w:start w:val="1"/>
    </w:lvl>
    <w:lvl w:ilvl="1">
      <w:lvlJc w:val="left"/>
      <w:lvlText w:val="(%2)"/>
      <w:numFmt w:val="lowerRoman"/>
      <w:start w:val="1"/>
    </w:lvl>
  </w:abstractNum>
  <w:abstractNum w:abstractNumId="227">
    <w:nsid w:val="71E5621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228">
    <w:nsid w:val="4E42B6A8"/>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229">
    <w:nsid w:val="43F8E1AC"/>
    <w:multiLevelType w:val="hybridMultilevel"/>
    <w:lvl w:ilvl="0">
      <w:lvlJc w:val="left"/>
      <w:lvlText w:val="%1"/>
      <w:numFmt w:val="decimal"/>
      <w:start w:val="1"/>
    </w:lvl>
    <w:lvl w:ilvl="1">
      <w:lvlJc w:val="left"/>
      <w:lvlText w:val="(%2)"/>
      <w:numFmt w:val="lowerLetter"/>
      <w:start w:val="5"/>
    </w:lvl>
  </w:abstractNum>
  <w:abstractNum w:abstractNumId="230">
    <w:nsid w:val="69215DFB"/>
    <w:multiLevelType w:val="hybridMultilevel"/>
    <w:lvl w:ilvl="0">
      <w:lvlJc w:val="left"/>
      <w:lvlText w:val="%1."/>
      <w:numFmt w:val="decimal"/>
      <w:start w:val="7"/>
    </w:lvl>
    <w:lvl w:ilvl="1">
      <w:lvlJc w:val="left"/>
      <w:lvlText w:val="%2"/>
      <w:numFmt w:val="lowerLetter"/>
      <w:start w:val="1"/>
    </w:lvl>
  </w:abstractNum>
  <w:abstractNum w:abstractNumId="231">
    <w:nsid w:val="7ABF196A"/>
    <w:multiLevelType w:val="hybridMultilevel"/>
    <w:lvl w:ilvl="0">
      <w:lvlJc w:val="left"/>
      <w:lvlText w:val="(%1)"/>
      <w:numFmt w:val="lowerLetter"/>
      <w:start w:val="1"/>
    </w:lvl>
  </w:abstractNum>
  <w:abstractNum w:abstractNumId="232">
    <w:nsid w:val="5E4DB968"/>
    <w:multiLevelType w:val="hybridMultilevel"/>
    <w:lvl w:ilvl="0">
      <w:lvlJc w:val="left"/>
      <w:lvlText w:val="(%1)"/>
      <w:numFmt w:val="lowerLetter"/>
      <w:start w:val="1"/>
    </w:lvl>
    <w:lvl w:ilvl="1">
      <w:lvlJc w:val="left"/>
      <w:lvlText w:val="(%2)"/>
      <w:numFmt w:val="lowerRoman"/>
      <w:start w:val="1"/>
    </w:lvl>
  </w:abstractNum>
  <w:abstractNum w:abstractNumId="233">
    <w:nsid w:val="2C06DCF3"/>
    <w:multiLevelType w:val="hybridMultilevel"/>
    <w:lvl w:ilvl="0">
      <w:lvlJc w:val="left"/>
      <w:lvlText w:val="(%1)"/>
      <w:numFmt w:val="lowerLetter"/>
      <w:start w:val="2"/>
    </w:lvl>
  </w:abstractNum>
  <w:abstractNum w:abstractNumId="234">
    <w:nsid w:val="2E129658"/>
    <w:multiLevelType w:val="hybridMultilevel"/>
    <w:lvl w:ilvl="0">
      <w:lvlJc w:val="left"/>
      <w:lvlText w:val="(%1)"/>
      <w:numFmt w:val="lowerRoman"/>
      <w:start w:val="1"/>
    </w:lvl>
    <w:lvl w:ilvl="1">
      <w:lvlJc w:val="left"/>
      <w:lvlText w:val="(%2)"/>
      <w:numFmt w:val="upperLetter"/>
      <w:start w:val="1"/>
    </w:lvl>
  </w:abstractNum>
  <w:abstractNum w:abstractNumId="235">
    <w:nsid w:val="59F0446"/>
    <w:multiLevelType w:val="hybridMultilevel"/>
    <w:lvl w:ilvl="0">
      <w:lvlJc w:val="left"/>
      <w:lvlText w:val="(%1)"/>
      <w:numFmt w:val="lowerLetter"/>
      <w:start w:val="3"/>
    </w:lvl>
  </w:abstractNum>
  <w:abstractNum w:abstractNumId="236">
    <w:nsid w:val="30DF306"/>
    <w:multiLevelType w:val="hybridMultilevel"/>
    <w:lvl w:ilvl="0">
      <w:lvlJc w:val="left"/>
      <w:lvlText w:val="(%1)"/>
      <w:numFmt w:val="lowerLetter"/>
      <w:start w:val="1"/>
    </w:lvl>
    <w:lvl w:ilvl="1">
      <w:lvlJc w:val="left"/>
      <w:lvlText w:val="(%2)"/>
      <w:numFmt w:val="lowerRoman"/>
      <w:start w:val="1"/>
    </w:lvl>
  </w:abstractNum>
  <w:abstractNum w:abstractNumId="237">
    <w:nsid w:val="A65647"/>
    <w:multiLevelType w:val="hybridMultilevel"/>
    <w:lvl w:ilvl="0">
      <w:lvlJc w:val="left"/>
      <w:lvlText w:val="(%1)"/>
      <w:numFmt w:val="lowerLetter"/>
      <w:start w:val="2"/>
    </w:lvl>
  </w:abstractNum>
  <w:abstractNum w:abstractNumId="238">
    <w:nsid w:val="3E5E582B"/>
    <w:multiLevelType w:val="hybridMultilevel"/>
    <w:lvl w:ilvl="0">
      <w:lvlJc w:val="left"/>
      <w:lvlText w:val="(%1)"/>
      <w:numFmt w:val="lowerLetter"/>
      <w:start w:val="1"/>
    </w:lvl>
    <w:lvl w:ilvl="1">
      <w:lvlJc w:val="left"/>
      <w:lvlText w:val="(%2)"/>
      <w:numFmt w:val="lowerRoman"/>
      <w:start w:val="1"/>
    </w:lvl>
  </w:abstractNum>
  <w:abstractNum w:abstractNumId="239">
    <w:nsid w:val="257D4626"/>
    <w:multiLevelType w:val="hybridMultilevel"/>
    <w:lvl w:ilvl="0">
      <w:lvlJc w:val="left"/>
      <w:lvlText w:val="(%1)"/>
      <w:numFmt w:val="lowerLetter"/>
      <w:start w:val="2"/>
    </w:lvl>
    <w:lvl w:ilvl="1">
      <w:lvlJc w:val="left"/>
      <w:lvlText w:val="(%2)"/>
      <w:numFmt w:val="lowerRoman"/>
      <w:start w:val="1"/>
    </w:lvl>
  </w:abstractNum>
  <w:abstractNum w:abstractNumId="240">
    <w:nsid w:val="5AA8580E"/>
    <w:multiLevelType w:val="hybridMultilevel"/>
    <w:lvl w:ilvl="0">
      <w:lvlJc w:val="left"/>
      <w:lvlText w:val="(%1)"/>
      <w:numFmt w:val="lowerLetter"/>
      <w:start w:val="5"/>
    </w:lvl>
    <w:lvl w:ilvl="1">
      <w:lvlJc w:val="left"/>
      <w:lvlText w:val="(%2)"/>
      <w:numFmt w:val="lowerRoman"/>
      <w:start w:val="1"/>
    </w:lvl>
  </w:abstractNum>
  <w:abstractNum w:abstractNumId="241">
    <w:nsid w:val="68FA8D0D"/>
    <w:multiLevelType w:val="hybridMultilevel"/>
    <w:lvl w:ilvl="0">
      <w:lvlJc w:val="left"/>
      <w:lvlText w:val="(%1)"/>
      <w:numFmt w:val="lowerLetter"/>
      <w:start w:val="1"/>
    </w:lvl>
  </w:abstractNum>
  <w:abstractNum w:abstractNumId="242">
    <w:nsid w:val="40F2CBD2"/>
    <w:multiLevelType w:val="hybridMultilevel"/>
    <w:lvl w:ilvl="0">
      <w:lvlJc w:val="left"/>
      <w:lvlText w:val="(%1)"/>
      <w:numFmt w:val="lowerLetter"/>
      <w:start w:val="4"/>
    </w:lvl>
  </w:abstractNum>
  <w:abstractNum w:abstractNumId="243">
    <w:nsid w:val="3BD615EB"/>
    <w:multiLevelType w:val="hybridMultilevel"/>
    <w:lvl w:ilvl="0">
      <w:lvlJc w:val="left"/>
      <w:lvlText w:val="%1."/>
      <w:numFmt w:val="decimal"/>
      <w:start w:val="8"/>
    </w:lvl>
  </w:abstractNum>
  <w:abstractNum w:abstractNumId="244">
    <w:nsid w:val="A045AB2"/>
    <w:multiLevelType w:val="hybridMultilevel"/>
    <w:lvl w:ilvl="0">
      <w:lvlJc w:val="left"/>
      <w:lvlText w:val="(%1)"/>
      <w:numFmt w:val="lowerLetter"/>
      <w:start w:val="1"/>
    </w:lvl>
  </w:abstractNum>
  <w:abstractNum w:abstractNumId="245">
    <w:nsid w:val="1872261F"/>
    <w:multiLevelType w:val="hybridMultilevel"/>
    <w:lvl w:ilvl="0">
      <w:lvlJc w:val="left"/>
      <w:lvlText w:val="(%1)"/>
      <w:numFmt w:val="lowerLetter"/>
      <w:start w:val="1"/>
    </w:lvl>
  </w:abstractNum>
  <w:abstractNum w:abstractNumId="246">
    <w:nsid w:val="3DE8306C"/>
    <w:multiLevelType w:val="hybridMultilevel"/>
    <w:lvl w:ilvl="0">
      <w:lvlJc w:val="left"/>
      <w:lvlText w:val="(%1)"/>
      <w:numFmt w:val="lowerLetter"/>
      <w:start w:val="1"/>
    </w:lvl>
    <w:lvl w:ilvl="1">
      <w:lvlJc w:val="left"/>
      <w:lvlText w:val="(%2)"/>
      <w:numFmt w:val="lowerRoman"/>
      <w:start w:val="1"/>
    </w:lvl>
  </w:abstractNum>
  <w:abstractNum w:abstractNumId="247">
    <w:nsid w:val="7631573A"/>
    <w:multiLevelType w:val="hybridMultilevel"/>
    <w:lvl w:ilvl="0">
      <w:lvlJc w:val="left"/>
      <w:lvlText w:val="(%1)"/>
      <w:numFmt w:val="lowerLetter"/>
      <w:start w:val="1"/>
    </w:lvl>
  </w:abstractNum>
  <w:abstractNum w:abstractNumId="248">
    <w:nsid w:val="58DF53B"/>
    <w:multiLevelType w:val="hybridMultilevel"/>
    <w:lvl w:ilvl="0">
      <w:lvlJc w:val="left"/>
      <w:lvlText w:val="%1."/>
      <w:numFmt w:val="decimal"/>
      <w:start w:val="9"/>
    </w:lvl>
  </w:abstractNum>
  <w:abstractNum w:abstractNumId="249">
    <w:nsid w:val="ACDFAC0"/>
    <w:multiLevelType w:val="hybridMultilevel"/>
    <w:lvl w:ilvl="0">
      <w:lvlJc w:val="left"/>
      <w:lvlText w:val="(%1)"/>
      <w:numFmt w:val="lowerLetter"/>
      <w:start w:val="1"/>
    </w:lvl>
  </w:abstractNum>
  <w:abstractNum w:abstractNumId="250">
    <w:nsid w:val="1F578454"/>
    <w:multiLevelType w:val="hybridMultilevel"/>
    <w:lvl w:ilvl="0">
      <w:lvlJc w:val="left"/>
      <w:lvlText w:val="%1."/>
      <w:numFmt w:val="decimal"/>
      <w:start w:val="10"/>
    </w:lvl>
  </w:abstractNum>
  <w:abstractNum w:abstractNumId="251">
    <w:nsid w:val="5B0DAD2A"/>
    <w:multiLevelType w:val="hybridMultilevel"/>
    <w:lvl w:ilvl="0">
      <w:lvlJc w:val="left"/>
      <w:lvlText w:val="(%1)"/>
      <w:numFmt w:val="lowerLetter"/>
      <w:start w:val="1"/>
    </w:lvl>
  </w:abstractNum>
  <w:abstractNum w:abstractNumId="252">
    <w:nsid w:val="4E3D26AB"/>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53">
    <w:nsid w:val="BE2C8BA"/>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254">
    <w:nsid w:val="7B14914E"/>
    <w:multiLevelType w:val="hybridMultilevel"/>
    <w:lvl w:ilvl="0">
      <w:lvlJc w:val="left"/>
      <w:lvlText w:val="(%1)"/>
      <w:numFmt w:val="lowerLetter"/>
      <w:start w:val="1"/>
    </w:lvl>
  </w:abstractNum>
  <w:abstractNum w:abstractNumId="255">
    <w:nsid w:val="6F0939F8"/>
    <w:multiLevelType w:val="hybridMultilevel"/>
    <w:lvl w:ilvl="0">
      <w:lvlJc w:val="left"/>
      <w:lvlText w:val="(%1)"/>
      <w:numFmt w:val="lowerLetter"/>
      <w:start w:val="1"/>
    </w:lvl>
    <w:lvl w:ilvl="1">
      <w:lvlJc w:val="left"/>
      <w:lvlText w:val="(%2)"/>
      <w:numFmt w:val="lowerRoman"/>
      <w:start w:val="1"/>
    </w:lvl>
  </w:abstractNum>
  <w:abstractNum w:abstractNumId="256">
    <w:nsid w:val="154291F6"/>
    <w:multiLevelType w:val="hybridMultilevel"/>
    <w:lvl w:ilvl="0">
      <w:lvlJc w:val="left"/>
      <w:lvlText w:val="(%1)"/>
      <w:numFmt w:val="lowerLetter"/>
      <w:start w:val="4"/>
    </w:lvl>
  </w:abstractNum>
  <w:abstractNum w:abstractNumId="257">
    <w:nsid w:val="3CEBD7C7"/>
    <w:multiLevelType w:val="hybridMultilevel"/>
    <w:lvl w:ilvl="0">
      <w:lvlJc w:val="left"/>
      <w:lvlText w:val="(%1)"/>
      <w:numFmt w:val="lowerRoman"/>
      <w:start w:val="1"/>
    </w:lvl>
  </w:abstractNum>
  <w:abstractNum w:abstractNumId="258">
    <w:nsid w:val="60EE9C16"/>
    <w:multiLevelType w:val="hybridMultilevel"/>
    <w:lvl w:ilvl="0">
      <w:lvlJc w:val="left"/>
      <w:lvlText w:val="(%1)"/>
      <w:numFmt w:val="lowerLetter"/>
      <w:start w:val="5"/>
    </w:lvl>
  </w:abstractNum>
  <w:abstractNum w:abstractNumId="259">
    <w:nsid w:val="6385489E"/>
    <w:multiLevelType w:val="hybridMultilevel"/>
    <w:lvl w:ilvl="0">
      <w:lvlJc w:val="left"/>
      <w:lvlText w:val="%1"/>
      <w:numFmt w:val="decimal"/>
      <w:start w:val="1"/>
    </w:lvl>
    <w:lvl w:ilvl="1">
      <w:lvlJc w:val="left"/>
      <w:lvlText w:val="(%2)"/>
      <w:numFmt w:val="lowerLetter"/>
      <w:start w:val="1"/>
    </w:lvl>
  </w:abstractNum>
  <w:abstractNum w:abstractNumId="260">
    <w:nsid w:val="E4B973"/>
    <w:multiLevelType w:val="hybridMultilevel"/>
    <w:lvl w:ilvl="0">
      <w:lvlJc w:val="left"/>
      <w:lvlText w:val="%1."/>
      <w:numFmt w:val="decimal"/>
      <w:start w:val="11"/>
    </w:lvl>
    <w:lvl w:ilvl="1">
      <w:lvlJc w:val="left"/>
      <w:lvlText w:val="%2"/>
      <w:numFmt w:val="lowerLetter"/>
      <w:start w:val="1"/>
    </w:lvl>
  </w:abstractNum>
  <w:abstractNum w:abstractNumId="261">
    <w:nsid w:val="4A0FFA11"/>
    <w:multiLevelType w:val="hybridMultilevel"/>
    <w:lvl w:ilvl="0">
      <w:lvlJc w:val="left"/>
      <w:lvlText w:val="(%1)"/>
      <w:numFmt w:val="lowerLetter"/>
      <w:start w:val="1"/>
    </w:lvl>
    <w:lvl w:ilvl="1">
      <w:lvlJc w:val="left"/>
      <w:lvlText w:val="(%2)"/>
      <w:numFmt w:val="lowerRoman"/>
      <w:start w:val="1"/>
    </w:lvl>
  </w:abstractNum>
  <w:abstractNum w:abstractNumId="262">
    <w:nsid w:val="5E446208"/>
    <w:multiLevelType w:val="hybridMultilevel"/>
    <w:lvl w:ilvl="0">
      <w:lvlJc w:val="left"/>
      <w:lvlText w:val="(%1)"/>
      <w:numFmt w:val="lowerLetter"/>
      <w:start w:val="2"/>
    </w:lvl>
  </w:abstractNum>
  <w:abstractNum w:abstractNumId="263">
    <w:nsid w:val="5F3272DB"/>
    <w:multiLevelType w:val="hybridMultilevel"/>
    <w:lvl w:ilvl="0">
      <w:lvlJc w:val="left"/>
      <w:lvlText w:val="%1."/>
      <w:numFmt w:val="decimal"/>
      <w:start w:val="12"/>
    </w:lvl>
  </w:abstractNum>
  <w:abstractNum w:abstractNumId="264">
    <w:nsid w:val="7616D704"/>
    <w:multiLevelType w:val="hybridMultilevel"/>
    <w:lvl w:ilvl="0">
      <w:lvlJc w:val="left"/>
      <w:lvlText w:val="(%1)"/>
      <w:numFmt w:val="lowerLetter"/>
      <w:start w:val="1"/>
    </w:lvl>
  </w:abstractNum>
  <w:abstractNum w:abstractNumId="265">
    <w:nsid w:val="C56F860"/>
    <w:multiLevelType w:val="hybridMultilevel"/>
    <w:lvl w:ilvl="0">
      <w:lvlJc w:val="left"/>
      <w:lvlText w:val="(%1)"/>
      <w:numFmt w:val="lowerLetter"/>
      <w:start w:val="7"/>
    </w:lvl>
  </w:abstractNum>
  <w:abstractNum w:abstractNumId="266">
    <w:nsid w:val="64D177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7">
    <w:nsid w:val="7924CA0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68">
    <w:nsid w:val="CFD4EA7"/>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69">
    <w:nsid w:val="232FCF4D"/>
    <w:multiLevelType w:val="hybridMultilevel"/>
    <w:lvl w:ilvl="0">
      <w:lvlJc w:val="left"/>
      <w:lvlText w:val="(%1)"/>
      <w:numFmt w:val="lowerLetter"/>
      <w:start w:val="1"/>
    </w:lvl>
  </w:abstractNum>
  <w:abstractNum w:abstractNumId="270">
    <w:nsid w:val="1EA21031"/>
    <w:multiLevelType w:val="hybridMultilevel"/>
    <w:lvl w:ilvl="0">
      <w:lvlJc w:val="left"/>
      <w:lvlText w:val="(%1)"/>
      <w:numFmt w:val="lowerLetter"/>
      <w:start w:val="1"/>
    </w:lvl>
  </w:abstractNum>
  <w:abstractNum w:abstractNumId="271">
    <w:nsid w:val="67A5A6B5"/>
    <w:multiLevelType w:val="hybridMultilevel"/>
    <w:lvl w:ilvl="0">
      <w:lvlJc w:val="left"/>
      <w:lvlText w:val="(%1)"/>
      <w:numFmt w:val="lowerLetter"/>
      <w:start w:val="1"/>
    </w:lvl>
    <w:lvl w:ilvl="1">
      <w:lvlJc w:val="left"/>
      <w:lvlText w:val="(%2)"/>
      <w:numFmt w:val="lowerRoman"/>
      <w:start w:val="1"/>
    </w:lvl>
  </w:abstractNum>
  <w:abstractNum w:abstractNumId="272">
    <w:nsid w:val="C2A5C5B"/>
    <w:multiLevelType w:val="hybridMultilevel"/>
    <w:lvl w:ilvl="0">
      <w:lvlJc w:val="left"/>
      <w:lvlText w:val="(%1)"/>
      <w:numFmt w:val="lowerLetter"/>
      <w:start w:val="3"/>
    </w:lvl>
  </w:abstractNum>
  <w:abstractNum w:abstractNumId="273">
    <w:nsid w:val="5F94DC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4">
    <w:nsid w:val="237BBCA0"/>
    <w:multiLevelType w:val="hybridMultilevel"/>
    <w:lvl w:ilvl="0">
      <w:lvlJc w:val="left"/>
      <w:lvlText w:val="(%1)"/>
      <w:numFmt w:val="lowerLetter"/>
      <w:start w:val="4"/>
    </w:lvl>
    <w:lvl w:ilvl="1">
      <w:lvlJc w:val="left"/>
      <w:lvlText w:val="(%2)"/>
      <w:numFmt w:val="lowerRoman"/>
      <w:start w:val="1"/>
    </w:lvl>
  </w:abstractNum>
  <w:abstractNum w:abstractNumId="275">
    <w:nsid w:val="162EB70D"/>
    <w:multiLevelType w:val="hybridMultilevel"/>
    <w:lvl w:ilvl="0">
      <w:lvlJc w:val="left"/>
      <w:lvlText w:val="%1"/>
      <w:numFmt w:val="lowerLetter"/>
      <w:start w:val="1"/>
    </w:lvl>
    <w:lvl w:ilvl="1">
      <w:lvlJc w:val="left"/>
      <w:lvlText w:val="(%2)"/>
      <w:numFmt w:val="upperLetter"/>
      <w:start w:val="1"/>
    </w:lvl>
  </w:abstractNum>
  <w:abstractNum w:abstractNumId="276">
    <w:nsid w:val="78070222"/>
    <w:multiLevelType w:val="hybridMultilevel"/>
    <w:lvl w:ilvl="0">
      <w:lvlJc w:val="left"/>
      <w:lvlText w:val="(%1)"/>
      <w:numFmt w:val="lowerLetter"/>
      <w:start w:val="6"/>
    </w:lvl>
    <w:lvl w:ilvl="1">
      <w:lvlJc w:val="left"/>
      <w:lvlText w:val="%2"/>
      <w:numFmt w:val="upperLetter"/>
      <w:start w:val="1"/>
    </w:lvl>
  </w:abstractNum>
  <w:abstractNum w:abstractNumId="277">
    <w:nsid w:val="6163ED0D"/>
    <w:multiLevelType w:val="hybridMultilevel"/>
    <w:lvl w:ilvl="0">
      <w:lvlJc w:val="left"/>
      <w:lvlText w:val="%1"/>
      <w:numFmt w:val="decimal"/>
      <w:start w:val="1"/>
    </w:lvl>
    <w:lvl w:ilvl="1">
      <w:lvlJc w:val="left"/>
      <w:lvlText w:val="(%2)"/>
      <w:numFmt w:val="lowerLetter"/>
      <w:start w:val="1"/>
    </w:lvl>
  </w:abstractNum>
  <w:abstractNum w:abstractNumId="278">
    <w:nsid w:val="C600E47"/>
    <w:multiLevelType w:val="hybridMultilevel"/>
    <w:lvl w:ilvl="0">
      <w:lvlJc w:val="left"/>
      <w:lvlText w:val="%1."/>
      <w:numFmt w:val="decimal"/>
      <w:start w:val="13"/>
    </w:lvl>
    <w:lvl w:ilvl="1">
      <w:lvlJc w:val="left"/>
      <w:lvlText w:val="%2"/>
      <w:numFmt w:val="lowerLetter"/>
      <w:start w:val="1"/>
    </w:lvl>
  </w:abstractNum>
  <w:abstractNum w:abstractNumId="279">
    <w:nsid w:val="7D94F75D"/>
    <w:multiLevelType w:val="hybridMultilevel"/>
    <w:lvl w:ilvl="0">
      <w:lvlJc w:val="left"/>
      <w:lvlText w:val="(%1)"/>
      <w:numFmt w:val="lowerLetter"/>
      <w:start w:val="1"/>
    </w:lvl>
  </w:abstractNum>
  <w:abstractNum w:abstractNumId="280">
    <w:nsid w:val="6C31E7CD"/>
    <w:multiLevelType w:val="hybridMultilevel"/>
    <w:lvl w:ilvl="0">
      <w:lvlJc w:val="left"/>
      <w:lvlText w:val="(%1)"/>
      <w:numFmt w:val="lowerRoman"/>
      <w:start w:val="1"/>
    </w:lvl>
  </w:abstractNum>
  <w:abstractNum w:abstractNumId="281">
    <w:nsid w:val="2BB7929B"/>
    <w:multiLevelType w:val="hybridMultilevel"/>
    <w:lvl w:ilvl="0">
      <w:lvlJc w:val="left"/>
      <w:lvlText w:val="(%1)"/>
      <w:numFmt w:val="lowerRoman"/>
      <w:start w:val="1"/>
    </w:lvl>
  </w:abstractNum>
  <w:abstractNum w:abstractNumId="282">
    <w:nsid w:val="58A2A487"/>
    <w:multiLevelType w:val="hybridMultilevel"/>
    <w:lvl w:ilvl="0">
      <w:lvlJc w:val="left"/>
      <w:lvlText w:val="(%1)"/>
      <w:numFmt w:val="lowerRoman"/>
      <w:start w:val="1"/>
    </w:lvl>
  </w:abstractNum>
  <w:abstractNum w:abstractNumId="283">
    <w:nsid w:val="3A6F0E78"/>
    <w:multiLevelType w:val="hybridMultilevel"/>
    <w:lvl w:ilvl="0">
      <w:lvlJc w:val="left"/>
      <w:lvlText w:val="(%1)"/>
      <w:numFmt w:val="lowerRoman"/>
      <w:start w:val="1"/>
    </w:lvl>
  </w:abstractNum>
  <w:abstractNum w:abstractNumId="284">
    <w:nsid w:val="379A5B56"/>
    <w:multiLevelType w:val="hybridMultilevel"/>
    <w:lvl w:ilvl="0">
      <w:lvlJc w:val="left"/>
      <w:lvlText w:val="(%1)"/>
      <w:numFmt w:val="lowerRoman"/>
      <w:start w:val="1"/>
    </w:lvl>
  </w:abstractNum>
  <w:abstractNum w:abstractNumId="285">
    <w:nsid w:val="53B735D5"/>
    <w:multiLevelType w:val="hybridMultilevel"/>
    <w:lvl w:ilvl="0">
      <w:lvlJc w:val="left"/>
      <w:lvlText w:val="(%1)"/>
      <w:numFmt w:val="lowerRoman"/>
      <w:start w:val="1"/>
    </w:lvl>
  </w:abstractNum>
  <w:abstractNum w:abstractNumId="286">
    <w:nsid w:val="29784870"/>
    <w:multiLevelType w:val="hybridMultilevel"/>
    <w:lvl w:ilvl="0">
      <w:lvlJc w:val="left"/>
      <w:lvlText w:val="(%1)"/>
      <w:numFmt w:val="lowerLetter"/>
      <w:start w:val="1"/>
    </w:lvl>
  </w:abstractNum>
  <w:abstractNum w:abstractNumId="287">
    <w:nsid w:val="4CDCED4C"/>
    <w:multiLevelType w:val="hybridMultilevel"/>
    <w:lvl w:ilvl="0">
      <w:lvlJc w:val="left"/>
      <w:lvlText w:val="(%1)"/>
      <w:numFmt w:val="lowerLetter"/>
      <w:start w:val="1"/>
    </w:lvl>
    <w:lvl w:ilvl="1">
      <w:lvlJc w:val="left"/>
      <w:lvlText w:val="(%2)"/>
      <w:numFmt w:val="lowerRoman"/>
      <w:start w:val="1"/>
    </w:lvl>
  </w:abstractNum>
  <w:abstractNum w:abstractNumId="288">
    <w:nsid w:val="10A30D9C"/>
    <w:multiLevelType w:val="hybridMultilevel"/>
    <w:lvl w:ilvl="0">
      <w:lvlJc w:val="left"/>
      <w:lvlText w:val="%1."/>
      <w:numFmt w:val="decimal"/>
      <w:start w:val="14"/>
    </w:lvl>
  </w:abstractNum>
  <w:abstractNum w:abstractNumId="289">
    <w:nsid w:val="A66E486"/>
    <w:multiLevelType w:val="hybridMultilevel"/>
    <w:lvl w:ilvl="0">
      <w:lvlJc w:val="left"/>
      <w:lvlText w:val="(%1)"/>
      <w:numFmt w:val="lowerLetter"/>
      <w:start w:val="1"/>
    </w:lvl>
    <w:lvl w:ilvl="1">
      <w:lvlJc w:val="left"/>
      <w:lvlText w:val="(%2)"/>
      <w:numFmt w:val="lowerRoman"/>
      <w:start w:val="1"/>
    </w:lvl>
  </w:abstractNum>
  <w:abstractNum w:abstractNumId="290">
    <w:nsid w:val="306235EA"/>
    <w:multiLevelType w:val="hybridMultilevel"/>
    <w:lvl w:ilvl="0">
      <w:lvlJc w:val="left"/>
      <w:lvlText w:val="(%1)"/>
      <w:numFmt w:val="lowerRoman"/>
      <w:start w:val="1"/>
    </w:lvl>
  </w:abstractNum>
  <w:abstractNum w:abstractNumId="291">
    <w:nsid w:val="1187C70F"/>
    <w:multiLevelType w:val="hybridMultilevel"/>
    <w:lvl w:ilvl="0">
      <w:lvlJc w:val="left"/>
      <w:lvlText w:val="%1"/>
      <w:numFmt w:val="decimal"/>
      <w:start w:val="1"/>
    </w:lvl>
    <w:lvl w:ilvl="1">
      <w:lvlJc w:val="left"/>
      <w:lvlText w:val="(%2)"/>
      <w:numFmt w:val="lowerRoman"/>
      <w:start w:val="1"/>
    </w:lvl>
  </w:abstractNum>
  <w:abstractNum w:abstractNumId="292">
    <w:nsid w:val="5476DE98"/>
    <w:multiLevelType w:val="hybridMultilevel"/>
    <w:lvl w:ilvl="0">
      <w:lvlJc w:val="left"/>
      <w:lvlText w:val="%1."/>
      <w:numFmt w:val="decimal"/>
      <w:start w:val="15"/>
    </w:lvl>
    <w:lvl w:ilvl="1">
      <w:lvlJc w:val="left"/>
      <w:lvlText w:val="%2"/>
      <w:numFmt w:val="lowerRoman"/>
      <w:start w:val="1"/>
    </w:lvl>
  </w:abstractNum>
  <w:abstractNum w:abstractNumId="293">
    <w:nsid w:val="EA697F2"/>
    <w:multiLevelType w:val="hybridMultilevel"/>
    <w:lvl w:ilvl="0">
      <w:lvlJc w:val="left"/>
      <w:lvlText w:val="(%1)"/>
      <w:numFmt w:val="lowerLetter"/>
      <w:start w:val="1"/>
    </w:lvl>
  </w:abstractNum>
  <w:abstractNum w:abstractNumId="294">
    <w:nsid w:val="70BA39EB"/>
    <w:multiLevelType w:val="hybridMultilevel"/>
    <w:lvl w:ilvl="0">
      <w:lvlJc w:val="left"/>
      <w:lvlText w:val="(%1)"/>
      <w:numFmt w:val="lowerLetter"/>
      <w:start w:val="1"/>
    </w:lvl>
  </w:abstractNum>
  <w:abstractNum w:abstractNumId="295">
    <w:nsid w:val="4A8DB59C"/>
    <w:multiLevelType w:val="hybridMultilevel"/>
    <w:lvl w:ilvl="0">
      <w:lvlJc w:val="left"/>
      <w:lvlText w:val="%1."/>
      <w:numFmt w:val="decimal"/>
      <w:start w:val="16"/>
    </w:lvl>
  </w:abstractNum>
  <w:abstractNum w:abstractNumId="296">
    <w:nsid w:val="1AFD9053"/>
    <w:multiLevelType w:val="hybridMultilevel"/>
    <w:lvl w:ilvl="0">
      <w:lvlJc w:val="left"/>
      <w:lvlText w:val="(%1)"/>
      <w:numFmt w:val="lowerLetter"/>
      <w:start w:val="1"/>
    </w:lvl>
  </w:abstractNum>
  <w:abstractNum w:abstractNumId="297">
    <w:nsid w:val="558BB10D"/>
    <w:multiLevelType w:val="hybridMultilevel"/>
    <w:lvl w:ilvl="0">
      <w:lvlJc w:val="left"/>
      <w:lvlText w:val="(%1)"/>
      <w:numFmt w:val="lowerLetter"/>
      <w:start w:val="1"/>
    </w:lvl>
  </w:abstractNum>
  <w:abstractNum w:abstractNumId="298">
    <w:nsid w:val="43B27FA7"/>
    <w:multiLevelType w:val="hybridMultilevel"/>
    <w:lvl w:ilvl="0">
      <w:lvlJc w:val="left"/>
      <w:lvlText w:val="%1."/>
      <w:numFmt w:val="decimal"/>
      <w:start w:val="17"/>
    </w:lvl>
  </w:abstractNum>
  <w:abstractNum w:abstractNumId="299">
    <w:nsid w:val="27FADEFA"/>
    <w:multiLevelType w:val="hybridMultilevel"/>
    <w:lvl w:ilvl="0">
      <w:lvlJc w:val="left"/>
      <w:lvlText w:val="(%1)"/>
      <w:numFmt w:val="lowerLetter"/>
      <w:start w:val="1"/>
    </w:lvl>
  </w:abstractNum>
  <w:abstractNum w:abstractNumId="300">
    <w:nsid w:val="78BB805A"/>
    <w:multiLevelType w:val="hybridMultilevel"/>
    <w:lvl w:ilvl="0">
      <w:lvlJc w:val="left"/>
      <w:lvlText w:val="(%1)"/>
      <w:numFmt w:val="lowerLetter"/>
      <w:start w:val="1"/>
    </w:lvl>
  </w:abstractNum>
  <w:abstractNum w:abstractNumId="301">
    <w:nsid w:val="62548FD8"/>
    <w:multiLevelType w:val="hybridMultilevel"/>
    <w:lvl w:ilvl="0">
      <w:lvlJc w:val="left"/>
      <w:lvlText w:val="(%1)"/>
      <w:numFmt w:val="lowerLetter"/>
      <w:start w:val="3"/>
    </w:lvl>
  </w:abstractNum>
  <w:abstractNum w:abstractNumId="302">
    <w:nsid w:val="FA085B0"/>
    <w:multiLevelType w:val="hybridMultilevel"/>
    <w:lvl w:ilvl="0">
      <w:lvlJc w:val="left"/>
      <w:lvlText w:val="(%1)"/>
      <w:numFmt w:val="lowerLetter"/>
      <w:start w:val="1"/>
    </w:lvl>
  </w:abstractNum>
  <w:abstractNum w:abstractNumId="303">
    <w:nsid w:val="4E5DCB5"/>
    <w:multiLevelType w:val="hybridMultilevel"/>
    <w:lvl w:ilvl="0">
      <w:lvlJc w:val="left"/>
      <w:lvlText w:val="(%1)"/>
      <w:numFmt w:val="lowerLetter"/>
      <w:start w:val="1"/>
    </w:lvl>
  </w:abstractNum>
  <w:abstractNum w:abstractNumId="304">
    <w:nsid w:val="41E96BDB"/>
    <w:multiLevelType w:val="hybridMultilevel"/>
    <w:lvl w:ilvl="0">
      <w:lvlJc w:val="left"/>
      <w:lvlText w:val="(%1)"/>
      <w:numFmt w:val="lowerLetter"/>
      <w:start w:val="1"/>
    </w:lvl>
  </w:abstractNum>
  <w:abstractNum w:abstractNumId="305">
    <w:nsid w:val="331C4250"/>
    <w:multiLevelType w:val="hybridMultilevel"/>
    <w:lvl w:ilvl="0">
      <w:lvlJc w:val="left"/>
      <w:lvlText w:val="%1."/>
      <w:numFmt w:val="decimal"/>
      <w:start w:val="18"/>
    </w:lvl>
  </w:abstractNum>
  <w:abstractNum w:abstractNumId="306">
    <w:nsid w:val="1B1493C2"/>
    <w:multiLevelType w:val="hybridMultilevel"/>
    <w:lvl w:ilvl="0">
      <w:lvlJc w:val="left"/>
      <w:lvlText w:val="(%1)"/>
      <w:numFmt w:val="lowerLetter"/>
      <w:start w:val="1"/>
    </w:lvl>
  </w:abstractNum>
  <w:abstractNum w:abstractNumId="307">
    <w:nsid w:val="39F06DFD"/>
    <w:multiLevelType w:val="hybridMultilevel"/>
    <w:lvl w:ilvl="0">
      <w:lvlJc w:val="left"/>
      <w:lvlText w:val="(%1)"/>
      <w:numFmt w:val="lowerLetter"/>
      <w:start w:val="1"/>
    </w:lvl>
  </w:abstractNum>
  <w:abstractNum w:abstractNumId="308">
    <w:nsid w:val="14802F5D"/>
    <w:multiLevelType w:val="hybridMultilevel"/>
    <w:lvl w:ilvl="0">
      <w:lvlJc w:val="left"/>
      <w:lvlText w:val="(%1)"/>
      <w:numFmt w:val="lowerLetter"/>
      <w:start w:val="1"/>
    </w:lvl>
  </w:abstractNum>
  <w:abstractNum w:abstractNumId="309">
    <w:nsid w:val="2774A209"/>
    <w:multiLevelType w:val="hybridMultilevel"/>
    <w:lvl w:ilvl="0">
      <w:lvlJc w:val="left"/>
      <w:lvlText w:val="(%1)"/>
      <w:numFmt w:val="lowerLetter"/>
      <w:start w:val="1"/>
    </w:lvl>
  </w:abstractNum>
  <w:abstractNum w:abstractNumId="310">
    <w:nsid w:val="3785655A"/>
    <w:multiLevelType w:val="hybridMultilevel"/>
    <w:lvl w:ilvl="0">
      <w:lvlJc w:val="left"/>
      <w:lvlText w:val="(%1)"/>
      <w:numFmt w:val="lowerLetter"/>
      <w:start w:val="1"/>
    </w:lvl>
    <w:lvl w:ilvl="1">
      <w:lvlJc w:val="left"/>
      <w:lvlText w:val="(%2)"/>
      <w:numFmt w:val="lowerRoman"/>
      <w:start w:val="1"/>
    </w:lvl>
  </w:abstractNum>
  <w:abstractNum w:abstractNumId="311">
    <w:nsid w:val="B2172A"/>
    <w:multiLevelType w:val="hybridMultilevel"/>
    <w:lvl w:ilvl="0">
      <w:lvlJc w:val="left"/>
      <w:lvlText w:val="(%1)"/>
      <w:numFmt w:val="lowerLetter"/>
      <w:start w:val="1"/>
    </w:lvl>
  </w:abstractNum>
  <w:abstractNum w:abstractNumId="312">
    <w:nsid w:val="532C34A5"/>
    <w:multiLevelType w:val="hybridMultilevel"/>
    <w:lvl w:ilvl="0">
      <w:lvlJc w:val="left"/>
      <w:lvlText w:val="(%1)"/>
      <w:numFmt w:val="lowerLetter"/>
      <w:start w:val="1"/>
    </w:lvl>
  </w:abstractNum>
  <w:abstractNum w:abstractNumId="313">
    <w:nsid w:val="102809E2"/>
    <w:multiLevelType w:val="hybridMultilevel"/>
    <w:lvl w:ilvl="0">
      <w:lvlJc w:val="left"/>
      <w:lvlText w:val="(%1)"/>
      <w:numFmt w:val="lowerLetter"/>
      <w:start w:val="1"/>
    </w:lvl>
  </w:abstractNum>
  <w:abstractNum w:abstractNumId="314">
    <w:nsid w:val="3B2125A3"/>
    <w:multiLevelType w:val="hybridMultilevel"/>
    <w:lvl w:ilvl="0">
      <w:lvlJc w:val="left"/>
      <w:lvlText w:val="(%1)"/>
      <w:numFmt w:val="lowerLetter"/>
      <w:start w:val="1"/>
    </w:lvl>
  </w:abstractNum>
  <w:abstractNum w:abstractNumId="315">
    <w:nsid w:val="AC68FFB"/>
    <w:multiLevelType w:val="hybridMultilevel"/>
    <w:lvl w:ilvl="0">
      <w:lvlJc w:val="left"/>
      <w:lvlText w:val="(%1)"/>
      <w:numFmt w:val="lowerLetter"/>
      <w:start w:val="1"/>
    </w:lvl>
  </w:abstractNum>
  <w:abstractNum w:abstractNumId="316">
    <w:nsid w:val="63DF3FB7"/>
    <w:multiLevelType w:val="hybridMultilevel"/>
    <w:lvl w:ilvl="0">
      <w:lvlJc w:val="left"/>
      <w:lvlText w:val="(%1)"/>
      <w:numFmt w:val="lowerLetter"/>
      <w:start w:val="1"/>
    </w:lvl>
  </w:abstractNum>
  <w:abstractNum w:abstractNumId="317">
    <w:nsid w:val="64996E13"/>
    <w:multiLevelType w:val="hybridMultilevel"/>
    <w:lvl w:ilvl="0">
      <w:lvlJc w:val="left"/>
      <w:lvlText w:val="(%1)"/>
      <w:numFmt w:val="lowerLetter"/>
      <w:start w:val="1"/>
    </w:lvl>
  </w:abstractNum>
  <w:abstractNum w:abstractNumId="318">
    <w:nsid w:val="57A37D47"/>
    <w:multiLevelType w:val="hybridMultilevel"/>
    <w:lvl w:ilvl="0">
      <w:lvlJc w:val="left"/>
      <w:lvlText w:val="(%1)"/>
      <w:numFmt w:val="lowerLetter"/>
      <w:start w:val="1"/>
    </w:lvl>
  </w:abstractNum>
  <w:abstractNum w:abstractNumId="319">
    <w:nsid w:val="74824D54"/>
    <w:multiLevelType w:val="hybridMultilevel"/>
    <w:lvl w:ilvl="0">
      <w:lvlJc w:val="left"/>
      <w:lvlText w:val="(%1)"/>
      <w:numFmt w:val="lowerLetter"/>
      <w:start w:val="1"/>
    </w:lvl>
  </w:abstractNum>
  <w:abstractNum w:abstractNumId="320">
    <w:nsid w:val="6F00529A"/>
    <w:multiLevelType w:val="hybridMultilevel"/>
    <w:lvl w:ilvl="0">
      <w:lvlJc w:val="left"/>
      <w:lvlText w:val="(%1)"/>
      <w:numFmt w:val="lowerLetter"/>
      <w:start w:val="1"/>
    </w:lvl>
    <w:lvl w:ilvl="1">
      <w:lvlJc w:val="left"/>
      <w:lvlText w:val="(%2)"/>
      <w:numFmt w:val="lowerRoman"/>
      <w:start w:val="1"/>
    </w:lvl>
  </w:abstractNum>
  <w:abstractNum w:abstractNumId="321">
    <w:nsid w:val="805B331"/>
    <w:multiLevelType w:val="hybridMultilevel"/>
    <w:lvl w:ilvl="0">
      <w:lvlJc w:val="left"/>
      <w:lvlText w:val="(%1)"/>
      <w:numFmt w:val="lowerLetter"/>
      <w:start w:val="1"/>
    </w:lvl>
  </w:abstractNum>
  <w:abstractNum w:abstractNumId="322">
    <w:nsid w:val="60A1463"/>
    <w:multiLevelType w:val="hybridMultilevel"/>
    <w:lvl w:ilvl="0">
      <w:lvlJc w:val="left"/>
      <w:lvlText w:val="(%1)"/>
      <w:numFmt w:val="lowerLetter"/>
      <w:start w:val="2"/>
    </w:lvl>
  </w:abstractNum>
  <w:abstractNum w:abstractNumId="323">
    <w:nsid w:val="43773132"/>
    <w:multiLevelType w:val="hybridMultilevel"/>
    <w:lvl w:ilvl="0">
      <w:lvlJc w:val="left"/>
      <w:lvlText w:val="(%1)"/>
      <w:numFmt w:val="lowerLetter"/>
      <w:start w:val="1"/>
    </w:lvl>
  </w:abstractNum>
  <w:abstractNum w:abstractNumId="324">
    <w:nsid w:val="16AC4B23"/>
    <w:multiLevelType w:val="hybridMultilevel"/>
    <w:lvl w:ilvl="0">
      <w:lvlJc w:val="left"/>
      <w:lvlText w:val="%1."/>
      <w:numFmt w:val="decimal"/>
      <w:start w:val="19"/>
    </w:lvl>
  </w:abstractNum>
  <w:abstractNum w:abstractNumId="325">
    <w:nsid w:val="76C44E4E"/>
    <w:multiLevelType w:val="hybridMultilevel"/>
    <w:lvl w:ilvl="0">
      <w:lvlJc w:val="left"/>
      <w:lvlText w:val="(%1)"/>
      <w:numFmt w:val="lowerLetter"/>
      <w:start w:val="1"/>
    </w:lvl>
  </w:abstractNum>
  <w:abstractNum w:abstractNumId="326">
    <w:nsid w:val="E04E6CE"/>
    <w:multiLevelType w:val="hybridMultilevel"/>
    <w:lvl w:ilvl="0">
      <w:lvlJc w:val="left"/>
      <w:lvlText w:val="%1"/>
      <w:numFmt w:val="lowerLetter"/>
      <w:start w:val="1"/>
    </w:lvl>
    <w:lvl w:ilvl="1">
      <w:lvlJc w:val="left"/>
      <w:lvlText w:val="(%2)"/>
      <w:numFmt w:val="lowerRoman"/>
      <w:start w:val="1"/>
    </w:lvl>
  </w:abstractNum>
  <w:abstractNum w:abstractNumId="327">
    <w:nsid w:val="31A9DB76"/>
    <w:multiLevelType w:val="hybridMultilevel"/>
    <w:lvl w:ilvl="0">
      <w:lvlJc w:val="left"/>
      <w:lvlText w:val="(%1)"/>
      <w:numFmt w:val="lowerLetter"/>
      <w:start w:val="3"/>
    </w:lvl>
    <w:lvl w:ilvl="1">
      <w:lvlJc w:val="left"/>
      <w:lvlText w:val="%2"/>
      <w:numFmt w:val="lowerRoman"/>
      <w:start w:val="1"/>
    </w:lvl>
  </w:abstractNum>
  <w:abstractNum w:abstractNumId="328">
    <w:nsid w:val="4C4FFF5B"/>
    <w:multiLevelType w:val="hybridMultilevel"/>
    <w:lvl w:ilvl="0">
      <w:lvlJc w:val="left"/>
      <w:lvlText w:val="(%1)"/>
      <w:numFmt w:val="lowerLetter"/>
      <w:start w:val="1"/>
    </w:lvl>
    <w:lvl w:ilvl="1">
      <w:lvlJc w:val="left"/>
      <w:lvlText w:val="(%2)"/>
      <w:numFmt w:val="lowerRoman"/>
      <w:start w:val="1"/>
    </w:lvl>
  </w:abstractNum>
  <w:abstractNum w:abstractNumId="329">
    <w:nsid w:val="51B76675"/>
    <w:multiLevelType w:val="hybridMultilevel"/>
    <w:lvl w:ilvl="0">
      <w:lvlJc w:val="left"/>
      <w:lvlText w:val="(%1)"/>
      <w:numFmt w:val="lowerLetter"/>
      <w:start w:val="1"/>
    </w:lvl>
    <w:lvl w:ilvl="1">
      <w:lvlJc w:val="left"/>
      <w:lvlText w:val="(%2)"/>
      <w:numFmt w:val="lowerRoman"/>
      <w:start w:val="1"/>
    </w:lvl>
  </w:abstractNum>
  <w:abstractNum w:abstractNumId="330">
    <w:nsid w:val="59A4BA71"/>
    <w:multiLevelType w:val="hybridMultilevel"/>
    <w:lvl w:ilvl="0">
      <w:lvlJc w:val="left"/>
      <w:lvlText w:val="(%1)"/>
      <w:numFmt w:val="lowerLetter"/>
      <w:start w:val="3"/>
    </w:lvl>
  </w:abstractNum>
  <w:abstractNum w:abstractNumId="331">
    <w:nsid w:val="450B7FB6"/>
    <w:multiLevelType w:val="hybridMultilevel"/>
    <w:lvl w:ilvl="0">
      <w:lvlJc w:val="left"/>
      <w:lvlText w:val="(%1)"/>
      <w:numFmt w:val="lowerLetter"/>
      <w:start w:val="1"/>
    </w:lvl>
  </w:abstractNum>
  <w:abstractNum w:abstractNumId="332">
    <w:nsid w:val="340BF64D"/>
    <w:multiLevelType w:val="hybridMultilevel"/>
    <w:lvl w:ilvl="0">
      <w:lvlJc w:val="left"/>
      <w:lvlText w:val="(%1)"/>
      <w:numFmt w:val="lowerLetter"/>
      <w:start w:val="1"/>
    </w:lvl>
  </w:abstractNum>
  <w:abstractNum w:abstractNumId="333">
    <w:nsid w:val="69454021"/>
    <w:multiLevelType w:val="hybridMultilevel"/>
    <w:lvl w:ilvl="0">
      <w:lvlJc w:val="left"/>
      <w:lvlText w:val="(%1)"/>
      <w:numFmt w:val="lowerLetter"/>
      <w:start w:val="1"/>
    </w:lvl>
    <w:lvl w:ilvl="1">
      <w:lvlJc w:val="left"/>
      <w:lvlText w:val="(%2)"/>
      <w:numFmt w:val="lowerRoman"/>
      <w:start w:val="1"/>
    </w:lvl>
  </w:abstractNum>
  <w:abstractNum w:abstractNumId="334">
    <w:nsid w:val="49F15C6B"/>
    <w:multiLevelType w:val="hybridMultilevel"/>
    <w:lvl w:ilvl="0">
      <w:lvlJc w:val="left"/>
      <w:lvlText w:val="(%1)"/>
      <w:numFmt w:val="lowerLetter"/>
      <w:start w:val="2"/>
    </w:lvl>
  </w:abstractNum>
  <w:abstractNum w:abstractNumId="335">
    <w:nsid w:val="75F56228"/>
    <w:multiLevelType w:val="hybridMultilevel"/>
    <w:lvl w:ilvl="0">
      <w:lvlJc w:val="left"/>
      <w:lvlText w:val="%1"/>
      <w:numFmt w:val="decimal"/>
      <w:start w:val="1"/>
    </w:lvl>
    <w:lvl w:ilvl="1">
      <w:lvlJc w:val="left"/>
      <w:lvlText w:val="(%2)"/>
      <w:numFmt w:val="lowerLetter"/>
      <w:start w:val="1"/>
    </w:lvl>
  </w:abstractNum>
  <w:abstractNum w:abstractNumId="336">
    <w:nsid w:val="1C618271"/>
    <w:multiLevelType w:val="hybridMultilevel"/>
    <w:lvl w:ilvl="0">
      <w:lvlJc w:val="left"/>
      <w:lvlText w:val="%1."/>
      <w:numFmt w:val="decimal"/>
      <w:start w:val="20"/>
    </w:lvl>
    <w:lvl w:ilvl="1">
      <w:lvlJc w:val="left"/>
      <w:lvlText w:val="%2"/>
      <w:numFmt w:val="lowerLetter"/>
      <w:start w:val="1"/>
    </w:lvl>
  </w:abstractNum>
  <w:abstractNum w:abstractNumId="337">
    <w:nsid w:val="6505F02E"/>
    <w:multiLevelType w:val="hybridMultilevel"/>
    <w:lvl w:ilvl="0">
      <w:lvlJc w:val="left"/>
      <w:lvlText w:val="(%1)"/>
      <w:numFmt w:val="lowerLetter"/>
      <w:start w:val="1"/>
    </w:lvl>
  </w:abstractNum>
  <w:abstractNum w:abstractNumId="338">
    <w:nsid w:val="2FE5D025"/>
    <w:multiLevelType w:val="hybridMultilevel"/>
    <w:lvl w:ilvl="0">
      <w:lvlJc w:val="left"/>
      <w:lvlText w:val="(%1)"/>
      <w:numFmt w:val="lowerLetter"/>
      <w:start w:val="3"/>
    </w:lvl>
  </w:abstractNum>
  <w:abstractNum w:abstractNumId="339">
    <w:nsid w:val="30E1B1CF"/>
    <w:multiLevelType w:val="hybridMultilevel"/>
    <w:lvl w:ilvl="0">
      <w:lvlJc w:val="left"/>
      <w:lvlText w:val="(%1)"/>
      <w:numFmt w:val="lowerLetter"/>
      <w:start w:val="1"/>
    </w:lvl>
  </w:abstractNum>
  <w:abstractNum w:abstractNumId="340">
    <w:nsid w:val="C7A9237"/>
    <w:multiLevelType w:val="hybridMultilevel"/>
    <w:lvl w:ilvl="0">
      <w:lvlJc w:val="left"/>
      <w:lvlText w:val="(%1)"/>
      <w:numFmt w:val="lowerLetter"/>
      <w:start w:val="1"/>
    </w:lvl>
  </w:abstractNum>
  <w:abstractNum w:abstractNumId="341">
    <w:nsid w:val="676B3580"/>
    <w:multiLevelType w:val="hybridMultilevel"/>
    <w:lvl w:ilvl="0">
      <w:lvlJc w:val="left"/>
      <w:lvlText w:val="%1."/>
      <w:numFmt w:val="decimal"/>
      <w:start w:val="21"/>
    </w:lvl>
  </w:abstractNum>
  <w:abstractNum w:abstractNumId="342">
    <w:nsid w:val="3193C8F9"/>
    <w:multiLevelType w:val="hybridMultilevel"/>
    <w:lvl w:ilvl="0">
      <w:lvlJc w:val="left"/>
      <w:lvlText w:val="(%1)"/>
      <w:numFmt w:val="lowerRoman"/>
      <w:start w:val="1"/>
    </w:lvl>
  </w:abstractNum>
  <w:abstractNum w:abstractNumId="343">
    <w:nsid w:val="5FA6C6DC"/>
    <w:multiLevelType w:val="hybridMultilevel"/>
    <w:lvl w:ilvl="0">
      <w:lvlJc w:val="left"/>
      <w:lvlText w:val="(%1)"/>
      <w:numFmt w:val="lowerRoman"/>
      <w:start w:val="1"/>
    </w:lvl>
  </w:abstractNum>
  <w:abstractNum w:abstractNumId="344">
    <w:nsid w:val="77933F62"/>
    <w:multiLevelType w:val="hybridMultilevel"/>
    <w:lvl w:ilvl="0">
      <w:lvlJc w:val="left"/>
      <w:lvlText w:val="(%1)"/>
      <w:numFmt w:val="lowerLetter"/>
      <w:start w:val="1"/>
    </w:lvl>
    <w:lvl w:ilvl="1">
      <w:lvlJc w:val="left"/>
      <w:lvlText w:val="(%2)"/>
      <w:numFmt w:val="lowerRoman"/>
      <w:start w:val="1"/>
    </w:lvl>
  </w:abstractNum>
  <w:abstractNum w:abstractNumId="345">
    <w:nsid w:val="6CB4EE9C"/>
    <w:multiLevelType w:val="hybridMultilevel"/>
    <w:lvl w:ilvl="0">
      <w:lvlJc w:val="left"/>
      <w:lvlText w:val="(%1)"/>
      <w:numFmt w:val="lowerLetter"/>
      <w:start w:val="1"/>
    </w:lvl>
    <w:lvl w:ilvl="1">
      <w:lvlJc w:val="left"/>
      <w:lvlText w:val="(%2)"/>
      <w:numFmt w:val="lowerRoman"/>
      <w:start w:val="1"/>
    </w:lvl>
  </w:abstractNum>
  <w:abstractNum w:abstractNumId="346">
    <w:nsid w:val="6A6D56D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7">
    <w:nsid w:val="5B727F19"/>
    <w:multiLevelType w:val="hybridMultilevel"/>
    <w:lvl w:ilvl="0">
      <w:lvlJc w:val="left"/>
      <w:lvlText w:val="(%1)"/>
      <w:numFmt w:val="lowerRoman"/>
      <w:start w:val="3"/>
    </w:lvl>
  </w:abstractNum>
  <w:abstractNum w:abstractNumId="348">
    <w:nsid w:val="514E5CB0"/>
    <w:multiLevelType w:val="hybridMultilevel"/>
    <w:lvl w:ilvl="0">
      <w:lvlJc w:val="left"/>
      <w:lvlText w:val="(%1)"/>
      <w:numFmt w:val="lowerRoman"/>
      <w:start w:val="4"/>
    </w:lvl>
    <w:lvl w:ilvl="1">
      <w:lvlJc w:val="left"/>
      <w:lvlText w:val="(%2)"/>
      <w:numFmt w:val="upperLetter"/>
      <w:start w:val="1"/>
    </w:lvl>
  </w:abstractNum>
  <w:abstractNum w:abstractNumId="349">
    <w:nsid w:val="4210D41E"/>
    <w:multiLevelType w:val="hybridMultilevel"/>
    <w:lvl w:ilvl="0">
      <w:lvlJc w:val="left"/>
      <w:lvlText w:val="(%1)"/>
      <w:numFmt w:val="lowerRoman"/>
      <w:start w:val="12"/>
    </w:lvl>
  </w:abstractNum>
  <w:abstractNum w:abstractNumId="350">
    <w:nsid w:val="4FF4CC6D"/>
    <w:multiLevelType w:val="hybridMultilevel"/>
    <w:lvl w:ilvl="0">
      <w:lvlJc w:val="left"/>
      <w:lvlText w:val="(%1)"/>
      <w:numFmt w:val="lowerLetter"/>
      <w:start w:val="1"/>
    </w:lvl>
    <w:lvl w:ilvl="1">
      <w:lvlJc w:val="left"/>
      <w:lvlText w:val="(%2)"/>
      <w:numFmt w:val="lowerRoman"/>
      <w:start w:val="1"/>
    </w:lvl>
  </w:abstractNum>
  <w:abstractNum w:abstractNumId="351">
    <w:nsid w:val="404EAF4A"/>
    <w:multiLevelType w:val="hybridMultilevel"/>
    <w:lvl w:ilvl="0">
      <w:lvlJc w:val="left"/>
      <w:lvlText w:val="(%1)"/>
      <w:numFmt w:val="lowerLetter"/>
      <w:start w:val="1"/>
    </w:lvl>
  </w:abstractNum>
  <w:abstractNum w:abstractNumId="352">
    <w:nsid w:val="4A16874F"/>
    <w:multiLevelType w:val="hybridMultilevel"/>
    <w:lvl w:ilvl="0">
      <w:lvlJc w:val="left"/>
      <w:lvlText w:val="%1"/>
      <w:numFmt w:val="lowerLetter"/>
      <w:start w:val="1"/>
    </w:lvl>
    <w:lvl w:ilvl="1">
      <w:lvlJc w:val="left"/>
      <w:lvlText w:val="(%2)"/>
      <w:numFmt w:val="lowerLetter"/>
      <w:start w:val="1"/>
    </w:lvl>
  </w:abstractNum>
  <w:abstractNum w:abstractNumId="353">
    <w:nsid w:val="55FEE0D1"/>
    <w:multiLevelType w:val="hybridMultilevel"/>
    <w:lvl w:ilvl="0">
      <w:lvlJc w:val="left"/>
      <w:lvlText w:val="(%1)"/>
      <w:numFmt w:val="lowerLetter"/>
      <w:start w:val="2"/>
    </w:lvl>
    <w:lvl w:ilvl="1">
      <w:lvlJc w:val="left"/>
      <w:lvlText w:val="%2"/>
      <w:numFmt w:val="lowerLetter"/>
      <w:start w:val="1"/>
    </w:lvl>
  </w:abstractNum>
  <w:abstractNum w:abstractNumId="354">
    <w:nsid w:val="3C5E0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5">
    <w:nsid w:val="60C2D27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356">
    <w:nsid w:val="4CC32F1F"/>
    <w:multiLevelType w:val="hybridMultilevel"/>
    <w:lvl w:ilvl="0">
      <w:lvlJc w:val="left"/>
      <w:lvlText w:val="(%1)"/>
      <w:numFmt w:val="lowerRoman"/>
      <w:start w:val="1"/>
    </w:lvl>
  </w:abstractNum>
  <w:abstractNum w:abstractNumId="357">
    <w:nsid w:val="11CAC74A"/>
    <w:multiLevelType w:val="hybridMultilevel"/>
    <w:lvl w:ilvl="0">
      <w:lvlJc w:val="left"/>
      <w:lvlText w:val="(%1)"/>
      <w:numFmt w:val="lowerRoman"/>
      <w:start w:val="1"/>
    </w:lvl>
  </w:abstractNum>
  <w:abstractNum w:abstractNumId="358">
    <w:nsid w:val="126CADE9"/>
    <w:multiLevelType w:val="hybridMultilevel"/>
    <w:lvl w:ilvl="0">
      <w:lvlJc w:val="left"/>
      <w:lvlText w:val="(%1)"/>
      <w:numFmt w:val="lowerRoman"/>
      <w:start w:val="1"/>
    </w:lvl>
  </w:abstractNum>
  <w:abstractNum w:abstractNumId="359">
    <w:nsid w:val="19132E7B"/>
    <w:multiLevelType w:val="hybridMultilevel"/>
    <w:lvl w:ilvl="0">
      <w:lvlJc w:val="left"/>
      <w:lvlText w:val="(%1)"/>
      <w:numFmt w:val="lowerRoman"/>
      <w:start w:val="1"/>
    </w:lvl>
  </w:abstractNum>
  <w:abstractNum w:abstractNumId="360">
    <w:nsid w:val="63822DC0"/>
    <w:multiLevelType w:val="hybridMultilevel"/>
    <w:lvl w:ilvl="0">
      <w:lvlJc w:val="left"/>
      <w:lvlText w:val="%1."/>
      <w:numFmt w:val="decimal"/>
      <w:start w:val="22"/>
    </w:lvl>
  </w:abstractNum>
  <w:abstractNum w:abstractNumId="361">
    <w:nsid w:val="6C11685A"/>
    <w:multiLevelType w:val="hybridMultilevel"/>
    <w:lvl w:ilvl="0">
      <w:lvlJc w:val="left"/>
      <w:lvlText w:val="(%1)"/>
      <w:numFmt w:val="lowerLetter"/>
      <w:start w:val="1"/>
    </w:lvl>
    <w:lvl w:ilvl="1">
      <w:lvlJc w:val="left"/>
      <w:lvlText w:val="(%2)"/>
      <w:numFmt w:val="lowerRoman"/>
      <w:start w:val="1"/>
    </w:lvl>
  </w:abstractNum>
  <w:abstractNum w:abstractNumId="362">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63">
    <w:nsid w:val="178E240D"/>
    <w:multiLevelType w:val="hybridMultilevel"/>
    <w:lvl w:ilvl="0">
      <w:lvlJc w:val="left"/>
      <w:lvlText w:val="(%1)"/>
      <w:numFmt w:val="lowerRoman"/>
      <w:start w:val="2"/>
    </w:lvl>
  </w:abstractNum>
  <w:abstractNum w:abstractNumId="364">
    <w:nsid w:val="5556A87B"/>
    <w:multiLevelType w:val="hybridMultilevel"/>
    <w:lvl w:ilvl="0">
      <w:lvlJc w:val="left"/>
      <w:lvlText w:val="(%1)"/>
      <w:numFmt w:val="lowerLetter"/>
      <w:start w:val="1"/>
    </w:lvl>
    <w:lvl w:ilvl="1">
      <w:lvlJc w:val="left"/>
      <w:lvlText w:val="(%2)"/>
      <w:numFmt w:val="lowerRoman"/>
      <w:start w:val="1"/>
    </w:lvl>
  </w:abstractNum>
  <w:abstractNum w:abstractNumId="365">
    <w:nsid w:val="28100A9C"/>
    <w:multiLevelType w:val="hybridMultilevel"/>
    <w:lvl w:ilvl="0">
      <w:lvlJc w:val="left"/>
      <w:lvlText w:val="(%1)"/>
      <w:numFmt w:val="lowerLetter"/>
      <w:start w:val="1"/>
    </w:lvl>
  </w:abstractNum>
  <w:abstractNum w:abstractNumId="366">
    <w:nsid w:val="D8386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67">
    <w:nsid w:val="71B82AED"/>
    <w:multiLevelType w:val="hybridMultilevel"/>
    <w:lvl w:ilvl="0">
      <w:lvlJc w:val="left"/>
      <w:lvlText w:val="(%1)"/>
      <w:numFmt w:val="lowerLetter"/>
      <w:start w:val="1"/>
    </w:lvl>
    <w:lvl w:ilvl="1">
      <w:lvlJc w:val="left"/>
      <w:lvlText w:val="(%2)"/>
      <w:numFmt w:val="lowerRoman"/>
      <w:start w:val="1"/>
    </w:lvl>
  </w:abstractNum>
  <w:abstractNum w:abstractNumId="368">
    <w:nsid w:val="D15FACA"/>
    <w:multiLevelType w:val="hybridMultilevel"/>
    <w:lvl w:ilvl="0">
      <w:lvlJc w:val="left"/>
      <w:lvlText w:val="(%1)"/>
      <w:numFmt w:val="lowerLetter"/>
      <w:start w:val="1"/>
    </w:lvl>
  </w:abstractNum>
  <w:abstractNum w:abstractNumId="369">
    <w:nsid w:val="3D69565B"/>
    <w:multiLevelType w:val="hybridMultilevel"/>
    <w:lvl w:ilvl="0">
      <w:lvlJc w:val="left"/>
      <w:lvlText w:val="(%1)"/>
      <w:numFmt w:val="lowerLetter"/>
      <w:start w:val="1"/>
    </w:lvl>
  </w:abstractNum>
  <w:abstractNum w:abstractNumId="370">
    <w:nsid w:val="2299DCBC"/>
    <w:multiLevelType w:val="hybridMultilevel"/>
    <w:lvl w:ilvl="0">
      <w:lvlJc w:val="left"/>
      <w:lvlText w:val="(%1)"/>
      <w:numFmt w:val="lowerRoman"/>
      <w:start w:val="1"/>
    </w:lvl>
  </w:abstractNum>
  <w:abstractNum w:abstractNumId="371">
    <w:nsid w:val="19908D02"/>
    <w:multiLevelType w:val="hybridMultilevel"/>
    <w:lvl w:ilvl="0">
      <w:lvlJc w:val="left"/>
      <w:lvlText w:val="%1."/>
      <w:numFmt w:val="decimal"/>
      <w:start w:val="23"/>
    </w:lvl>
  </w:abstractNum>
  <w:abstractNum w:abstractNumId="372">
    <w:nsid w:val="24D48BDB"/>
    <w:multiLevelType w:val="hybridMultilevel"/>
    <w:lvl w:ilvl="0">
      <w:lvlJc w:val="left"/>
      <w:lvlText w:val="(%1)"/>
      <w:numFmt w:val="lowerRoman"/>
      <w:start w:val="1"/>
    </w:lvl>
  </w:abstractNum>
  <w:abstractNum w:abstractNumId="373">
    <w:nsid w:val="542DA5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4">
    <w:nsid w:val="793753DE"/>
    <w:multiLevelType w:val="hybridMultilevel"/>
    <w:lvl w:ilvl="0">
      <w:lvlJc w:val="left"/>
      <w:lvlText w:val="(%1)"/>
      <w:numFmt w:val="lowerLetter"/>
      <w:start w:val="1"/>
    </w:lvl>
    <w:lvl w:ilvl="1">
      <w:lvlJc w:val="left"/>
      <w:lvlText w:val="(%2)"/>
      <w:numFmt w:val="lowerRoman"/>
      <w:start w:val="1"/>
    </w:lvl>
  </w:abstractNum>
  <w:abstractNum w:abstractNumId="375">
    <w:nsid w:val="1C67CB3D"/>
    <w:multiLevelType w:val="hybridMultilevel"/>
    <w:lvl w:ilvl="0">
      <w:lvlJc w:val="left"/>
      <w:lvlText w:val="(%1)"/>
      <w:numFmt w:val="lowerLetter"/>
      <w:start w:val="3"/>
    </w:lvl>
    <w:lvl w:ilvl="1">
      <w:lvlJc w:val="left"/>
      <w:lvlText w:val="(%2)"/>
      <w:numFmt w:val="lowerRoman"/>
      <w:start w:val="1"/>
    </w:lvl>
  </w:abstractNum>
  <w:abstractNum w:abstractNumId="376">
    <w:nsid w:val="40E29452"/>
    <w:multiLevelType w:val="hybridMultilevel"/>
    <w:lvl w:ilvl="0">
      <w:lvlJc w:val="left"/>
      <w:lvlText w:val="(%1)"/>
      <w:numFmt w:val="lowerLetter"/>
      <w:start w:val="4"/>
    </w:lvl>
  </w:abstractNum>
  <w:abstractNum w:abstractNumId="377">
    <w:nsid w:val="63A4AAB6"/>
    <w:multiLevelType w:val="hybridMultilevel"/>
    <w:lvl w:ilvl="0">
      <w:lvlJc w:val="left"/>
      <w:lvlText w:val="(%1)"/>
      <w:numFmt w:val="lowerLetter"/>
      <w:start w:val="1"/>
    </w:lvl>
    <w:lvl w:ilvl="1">
      <w:lvlJc w:val="left"/>
      <w:lvlText w:val="(%2)"/>
      <w:numFmt w:val="lowerRoman"/>
      <w:start w:val="1"/>
    </w:lvl>
  </w:abstractNum>
  <w:abstractNum w:abstractNumId="378">
    <w:nsid w:val="77DA4A57"/>
    <w:multiLevelType w:val="hybridMultilevel"/>
    <w:lvl w:ilvl="0">
      <w:lvlJc w:val="left"/>
      <w:lvlText w:val="(%1)"/>
      <w:numFmt w:val="lowerLetter"/>
      <w:start w:val="2"/>
    </w:lvl>
    <w:lvl w:ilvl="1">
      <w:lvlJc w:val="left"/>
      <w:lvlText w:val="(%2)"/>
      <w:numFmt w:val="lowerRoman"/>
      <w:start w:val="1"/>
    </w:lvl>
  </w:abstractNum>
  <w:abstractNum w:abstractNumId="379">
    <w:nsid w:val="1230F102"/>
    <w:multiLevelType w:val="hybridMultilevel"/>
    <w:lvl w:ilvl="0">
      <w:lvlJc w:val="left"/>
      <w:lvlText w:val="(%1)"/>
      <w:numFmt w:val="lowerLetter"/>
      <w:start w:val="3"/>
    </w:lvl>
    <w:lvl w:ilvl="1">
      <w:lvlJc w:val="left"/>
      <w:lvlText w:val="(%2)"/>
      <w:numFmt w:val="lowerRoman"/>
      <w:start w:val="1"/>
    </w:lvl>
  </w:abstractNum>
  <w:abstractNum w:abstractNumId="380">
    <w:nsid w:val="25B57ED4"/>
    <w:multiLevelType w:val="hybridMultilevel"/>
    <w:lvl w:ilvl="0">
      <w:lvlJc w:val="left"/>
      <w:lvlText w:val="(%1)"/>
      <w:numFmt w:val="lowerLetter"/>
      <w:start w:val="1"/>
    </w:lvl>
    <w:lvl w:ilvl="1">
      <w:lvlJc w:val="left"/>
      <w:lvlText w:val="(%2)"/>
      <w:numFmt w:val="lowerRoman"/>
      <w:start w:val="1"/>
    </w:lvl>
  </w:abstractNum>
  <w:abstractNum w:abstractNumId="381">
    <w:nsid w:val="47CF16C4"/>
    <w:multiLevelType w:val="hybridMultilevel"/>
    <w:lvl w:ilvl="0">
      <w:lvlJc w:val="left"/>
      <w:lvlText w:val="(%1)"/>
      <w:numFmt w:val="lowerLetter"/>
      <w:start w:val="1"/>
    </w:lvl>
    <w:lvl w:ilvl="1">
      <w:lvlJc w:val="left"/>
      <w:lvlText w:val="(%2)"/>
      <w:numFmt w:val="lowerRoman"/>
      <w:start w:val="1"/>
    </w:lvl>
  </w:abstractNum>
  <w:abstractNum w:abstractNumId="382">
    <w:nsid w:val="527FA04C"/>
    <w:multiLevelType w:val="hybridMultilevel"/>
    <w:lvl w:ilvl="0">
      <w:lvlJc w:val="left"/>
      <w:lvlText w:val="(%1)"/>
      <w:numFmt w:val="lowerRoman"/>
      <w:start w:val="1"/>
    </w:lvl>
  </w:abstractNum>
  <w:abstractNum w:abstractNumId="383">
    <w:nsid w:val="6FCC0624"/>
    <w:multiLevelType w:val="hybridMultilevel"/>
    <w:lvl w:ilvl="0">
      <w:lvlJc w:val="left"/>
      <w:lvlText w:val="(%1)"/>
      <w:numFmt w:val="lowerRoman"/>
      <w:start w:val="1"/>
    </w:lvl>
  </w:abstractNum>
  <w:abstractNum w:abstractNumId="384">
    <w:nsid w:val="1DCDF7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5">
    <w:nsid w:val="564580C8"/>
    <w:multiLevelType w:val="hybridMultilevel"/>
    <w:lvl w:ilvl="0">
      <w:lvlJc w:val="left"/>
      <w:lvlText w:val="%1."/>
      <w:numFmt w:val="decimal"/>
      <w:start w:val="24"/>
    </w:lvl>
  </w:abstractNum>
  <w:abstractNum w:abstractNumId="386">
    <w:nsid w:val="508ED897"/>
    <w:multiLevelType w:val="hybridMultilevel"/>
    <w:lvl w:ilvl="0">
      <w:lvlJc w:val="left"/>
      <w:lvlText w:val="(%1)"/>
      <w:numFmt w:val="lowerLetter"/>
      <w:start w:val="1"/>
    </w:lvl>
    <w:lvl w:ilvl="1">
      <w:lvlJc w:val="left"/>
      <w:lvlText w:val="(%2)"/>
      <w:numFmt w:val="lowerRoman"/>
      <w:start w:val="1"/>
    </w:lvl>
  </w:abstractNum>
  <w:abstractNum w:abstractNumId="387">
    <w:nsid w:val="6A9126B5"/>
    <w:multiLevelType w:val="hybridMultilevel"/>
    <w:lvl w:ilvl="0">
      <w:lvlJc w:val="left"/>
      <w:lvlText w:val="(%1)"/>
      <w:numFmt w:val="lowerLetter"/>
      <w:start w:val="1"/>
    </w:lvl>
    <w:lvl w:ilvl="1">
      <w:lvlJc w:val="left"/>
      <w:lvlText w:val="(%2)"/>
      <w:numFmt w:val="lowerRoman"/>
      <w:start w:val="1"/>
    </w:lvl>
  </w:abstractNum>
  <w:abstractNum w:abstractNumId="388">
    <w:nsid w:val="68104812"/>
    <w:multiLevelType w:val="hybridMultilevel"/>
    <w:lvl w:ilvl="0">
      <w:lvlJc w:val="left"/>
      <w:lvlText w:val="(%1)"/>
      <w:numFmt w:val="lowerLetter"/>
      <w:start w:val="1"/>
    </w:lvl>
    <w:lvl w:ilvl="1">
      <w:lvlJc w:val="left"/>
      <w:lvlText w:val="(%2)"/>
      <w:numFmt w:val="lowerRoman"/>
      <w:start w:val="1"/>
    </w:lvl>
  </w:abstractNum>
  <w:abstractNum w:abstractNumId="389">
    <w:nsid w:val="62FB8680"/>
    <w:multiLevelType w:val="hybridMultilevel"/>
    <w:lvl w:ilvl="0">
      <w:lvlJc w:val="left"/>
      <w:lvlText w:val="(%1)"/>
      <w:numFmt w:val="lowerLetter"/>
      <w:start w:val="1"/>
    </w:lvl>
    <w:lvl w:ilvl="1">
      <w:lvlJc w:val="left"/>
      <w:lvlText w:val="(%2)"/>
      <w:numFmt w:val="lowerRoman"/>
      <w:start w:val="1"/>
    </w:lvl>
  </w:abstractNum>
  <w:abstractNum w:abstractNumId="390">
    <w:nsid w:val="3A45530"/>
    <w:multiLevelType w:val="hybridMultilevel"/>
    <w:lvl w:ilvl="0">
      <w:lvlJc w:val="left"/>
      <w:lvlText w:val="%1."/>
      <w:numFmt w:val="decimal"/>
      <w:start w:val="25"/>
    </w:lvl>
  </w:abstractNum>
  <w:abstractNum w:abstractNumId="391">
    <w:nsid w:val="4B9275D2"/>
    <w:multiLevelType w:val="hybridMultilevel"/>
    <w:lvl w:ilvl="0">
      <w:lvlJc w:val="left"/>
      <w:lvlText w:val="(%1)"/>
      <w:numFmt w:val="lowerLetter"/>
      <w:start w:val="1"/>
    </w:lvl>
  </w:abstractNum>
  <w:abstractNum w:abstractNumId="392">
    <w:nsid w:val="4F0CEE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3">
    <w:nsid w:val="61C30361"/>
    <w:multiLevelType w:val="hybridMultilevel"/>
    <w:lvl w:ilvl="0">
      <w:lvlJc w:val="left"/>
      <w:lvlText w:val="(%1)"/>
      <w:numFmt w:val="lowerRoman"/>
      <w:start w:val="2"/>
    </w:lvl>
  </w:abstractNum>
  <w:abstractNum w:abstractNumId="394">
    <w:nsid w:val="632099E0"/>
    <w:multiLevelType w:val="hybridMultilevel"/>
    <w:lvl w:ilvl="0">
      <w:lvlJc w:val="left"/>
      <w:lvlText w:val="(%1)"/>
      <w:numFmt w:val="lowerLetter"/>
      <w:start w:val="2"/>
    </w:lvl>
  </w:abstractNum>
  <w:abstractNum w:abstractNumId="395">
    <w:nsid w:val="24639756"/>
    <w:multiLevelType w:val="hybridMultilevel"/>
    <w:lvl w:ilvl="0">
      <w:lvlJc w:val="left"/>
      <w:lvlText w:val="(%1)"/>
      <w:numFmt w:val="lowerLetter"/>
      <w:start w:val="1"/>
    </w:lvl>
  </w:abstractNum>
  <w:abstractNum w:abstractNumId="396">
    <w:nsid w:val="9D30DFD"/>
    <w:multiLevelType w:val="hybridMultilevel"/>
    <w:lvl w:ilvl="0">
      <w:lvlJc w:val="left"/>
      <w:lvlText w:val="(%1)"/>
      <w:numFmt w:val="lowerLetter"/>
      <w:start w:val="1"/>
    </w:lvl>
  </w:abstractNum>
  <w:abstractNum w:abstractNumId="397">
    <w:nsid w:val="70A420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8">
    <w:nsid w:val="161BC243"/>
    <w:multiLevelType w:val="hybridMultilevel"/>
    <w:lvl w:ilvl="0">
      <w:lvlJc w:val="left"/>
      <w:lvlText w:val="(%1)"/>
      <w:numFmt w:val="lowerLetter"/>
      <w:start w:val="2"/>
    </w:lvl>
    <w:lvl w:ilvl="1">
      <w:lvlJc w:val="left"/>
      <w:lvlText w:val="(%2)"/>
      <w:numFmt w:val="lowerRoman"/>
      <w:start w:val="1"/>
    </w:lvl>
  </w:abstractNum>
  <w:abstractNum w:abstractNumId="399">
    <w:nsid w:val="16E908C8"/>
    <w:multiLevelType w:val="hybridMultilevel"/>
    <w:lvl w:ilvl="0">
      <w:lvlJc w:val="left"/>
      <w:lvlText w:val="(%1)"/>
      <w:numFmt w:val="lowerLetter"/>
      <w:start w:val="6"/>
    </w:lvl>
    <w:lvl w:ilvl="1">
      <w:lvlJc w:val="left"/>
      <w:lvlText w:val="(%2)"/>
      <w:numFmt w:val="lowerRoman"/>
      <w:start w:val="1"/>
    </w:lvl>
  </w:abstractNum>
  <w:abstractNum w:abstractNumId="400">
    <w:nsid w:val="2E0D7671"/>
    <w:multiLevelType w:val="hybridMultilevel"/>
    <w:lvl w:ilvl="0">
      <w:lvlJc w:val="left"/>
      <w:lvlText w:val="(%1)"/>
      <w:numFmt w:val="lowerLetter"/>
      <w:start w:val="9"/>
    </w:lvl>
  </w:abstractNum>
  <w:abstractNum w:abstractNumId="401">
    <w:nsid w:val="38B59EFF"/>
    <w:multiLevelType w:val="hybridMultilevel"/>
    <w:lvl w:ilvl="0">
      <w:lvlJc w:val="left"/>
      <w:lvlText w:val="(%1)"/>
      <w:numFmt w:val="lowerRoman"/>
      <w:start w:val="1"/>
    </w:lvl>
  </w:abstractNum>
  <w:abstractNum w:abstractNumId="402">
    <w:nsid w:val="307995CA"/>
    <w:multiLevelType w:val="hybridMultilevel"/>
    <w:lvl w:ilvl="0">
      <w:lvlJc w:val="left"/>
      <w:lvlText w:val="(%1)"/>
      <w:numFmt w:val="lowerRoman"/>
      <w:start w:val="1"/>
    </w:lvl>
  </w:abstractNum>
  <w:abstractNum w:abstractNumId="403">
    <w:nsid w:val="52E202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4">
    <w:nsid w:val="CE344B5"/>
    <w:multiLevelType w:val="hybridMultilevel"/>
    <w:lvl w:ilvl="0">
      <w:lvlJc w:val="left"/>
      <w:lvlText w:val="(%1)"/>
      <w:numFmt w:val="lowerLetter"/>
      <w:start w:val="2"/>
    </w:lvl>
  </w:abstractNum>
  <w:abstractNum w:abstractNumId="405">
    <w:nsid w:val="29B0E9A8"/>
    <w:multiLevelType w:val="hybridMultilevel"/>
    <w:lvl w:ilvl="0">
      <w:lvlJc w:val="left"/>
      <w:lvlText w:val="(%1)"/>
      <w:numFmt w:val="lowerLetter"/>
      <w:start w:val="4"/>
    </w:lvl>
    <w:lvl w:ilvl="1">
      <w:lvlJc w:val="left"/>
      <w:lvlText w:val="(%2)"/>
      <w:numFmt w:val="lowerRoman"/>
      <w:start w:val="1"/>
    </w:lvl>
  </w:abstractNum>
  <w:abstractNum w:abstractNumId="406">
    <w:nsid w:val="6F49CD8A"/>
    <w:multiLevelType w:val="hybridMultilevel"/>
    <w:lvl w:ilvl="0">
      <w:lvlJc w:val="left"/>
      <w:lvlText w:val="(%1)"/>
      <w:numFmt w:val="lowerLetter"/>
      <w:start w:val="5"/>
    </w:lvl>
  </w:abstractNum>
  <w:abstractNum w:abstractNumId="407">
    <w:nsid w:val="4DC5D907"/>
    <w:multiLevelType w:val="hybridMultilevel"/>
    <w:lvl w:ilvl="0">
      <w:lvlJc w:val="left"/>
      <w:lvlText w:val="(%1)"/>
      <w:numFmt w:val="lowerLetter"/>
      <w:start w:val="1"/>
    </w:lvl>
  </w:abstractNum>
  <w:abstractNum w:abstractNumId="408">
    <w:nsid w:val="D55945E"/>
    <w:multiLevelType w:val="hybridMultilevel"/>
    <w:lvl w:ilvl="0">
      <w:lvlJc w:val="left"/>
      <w:lvlText w:val="(%1)"/>
      <w:numFmt w:val="lowerLetter"/>
      <w:start w:val="5"/>
    </w:lvl>
  </w:abstractNum>
  <w:abstractNum w:abstractNumId="409">
    <w:nsid w:val="672417E1"/>
    <w:multiLevelType w:val="hybridMultilevel"/>
    <w:lvl w:ilvl="0">
      <w:lvlJc w:val="left"/>
      <w:lvlText w:val="(%1)"/>
      <w:numFmt w:val="lowerRoman"/>
      <w:start w:val="2"/>
    </w:lvl>
  </w:abstractNum>
  <w:abstractNum w:abstractNumId="410">
    <w:nsid w:val="5FF6CA09"/>
    <w:multiLevelType w:val="hybridMultilevel"/>
    <w:lvl w:ilvl="0">
      <w:lvlJc w:val="left"/>
      <w:lvlText w:val="(%1)"/>
      <w:numFmt w:val="lowerRoman"/>
      <w:start w:val="1"/>
    </w:lvl>
  </w:abstractNum>
  <w:abstractNum w:abstractNumId="411">
    <w:nsid w:val="330B1333"/>
    <w:multiLevelType w:val="hybridMultilevel"/>
    <w:lvl w:ilvl="0">
      <w:lvlJc w:val="left"/>
      <w:lvlText w:val="(%1)"/>
      <w:numFmt w:val="lowerRoman"/>
      <w:start w:val="2"/>
    </w:lvl>
  </w:abstractNum>
  <w:abstractNum w:abstractNumId="412">
    <w:nsid w:val="2EF32EA6"/>
    <w:multiLevelType w:val="hybridMultilevel"/>
    <w:lvl w:ilvl="0">
      <w:lvlJc w:val="left"/>
      <w:lvlText w:val="(%1)"/>
      <w:numFmt w:val="lowerLetter"/>
      <w:start w:val="2"/>
    </w:lvl>
  </w:abstractNum>
  <w:abstractNum w:abstractNumId="413">
    <w:nsid w:val="32766A55"/>
    <w:multiLevelType w:val="hybridMultilevel"/>
    <w:lvl w:ilvl="0">
      <w:lvlJc w:val="left"/>
      <w:lvlText w:val="(%1)"/>
      <w:numFmt w:val="lowerLetter"/>
      <w:start w:val="1"/>
    </w:lvl>
  </w:abstractNum>
  <w:abstractNum w:abstractNumId="414">
    <w:nsid w:val="22D71957"/>
    <w:multiLevelType w:val="hybridMultilevel"/>
    <w:lvl w:ilvl="0">
      <w:lvlJc w:val="left"/>
      <w:lvlText w:val="(%1)"/>
      <w:numFmt w:val="lowerLetter"/>
      <w:start w:val="1"/>
    </w:lvl>
  </w:abstractNum>
  <w:abstractNum w:abstractNumId="415">
    <w:nsid w:val="4CC1263B"/>
    <w:multiLevelType w:val="hybridMultilevel"/>
    <w:lvl w:ilvl="0">
      <w:lvlJc w:val="left"/>
      <w:lvlText w:val="(%1)"/>
      <w:numFmt w:val="lowerRoman"/>
      <w:start w:val="1"/>
    </w:lvl>
  </w:abstractNum>
  <w:abstractNum w:abstractNumId="416">
    <w:nsid w:val="8BBEB1D"/>
    <w:multiLevelType w:val="hybridMultilevel"/>
    <w:lvl w:ilvl="0">
      <w:lvlJc w:val="left"/>
      <w:lvlText w:val="(%1)"/>
      <w:numFmt w:val="lowerLetter"/>
      <w:start w:val="2"/>
    </w:lvl>
  </w:abstractNum>
  <w:abstractNum w:abstractNumId="417">
    <w:nsid w:val="7365F1EE"/>
    <w:multiLevelType w:val="hybridMultilevel"/>
    <w:lvl w:ilvl="0">
      <w:lvlJc w:val="left"/>
      <w:lvlText w:val="(%1)"/>
      <w:numFmt w:val="lowerLetter"/>
      <w:start w:val="1"/>
    </w:lvl>
  </w:abstractNum>
  <w:abstractNum w:abstractNumId="418">
    <w:nsid w:val="37524CF0"/>
    <w:multiLevelType w:val="hybridMultilevel"/>
    <w:lvl w:ilvl="0">
      <w:lvlJc w:val="left"/>
      <w:lvlText w:val="(%1)"/>
      <w:numFmt w:val="lowerLetter"/>
      <w:start w:val="1"/>
    </w:lvl>
    <w:lvl w:ilvl="1">
      <w:lvlJc w:val="left"/>
      <w:lvlText w:val="(%2)"/>
      <w:numFmt w:val="lowerRoman"/>
      <w:start w:val="1"/>
    </w:lvl>
  </w:abstractNum>
  <w:abstractNum w:abstractNumId="419">
    <w:nsid w:val="70CC332F"/>
    <w:multiLevelType w:val="hybridMultilevel"/>
    <w:lvl w:ilvl="0">
      <w:lvlJc w:val="left"/>
      <w:lvlText w:val="%1"/>
      <w:numFmt w:val="decimal"/>
      <w:start w:val="1"/>
    </w:lvl>
    <w:lvl w:ilvl="1">
      <w:lvlJc w:val="left"/>
      <w:lvlText w:val="(%2)"/>
      <w:numFmt w:val="lowerLetter"/>
      <w:start w:val="3"/>
    </w:lvl>
  </w:abstractNum>
  <w:abstractNum w:abstractNumId="420">
    <w:nsid w:val="5661786E"/>
    <w:multiLevelType w:val="hybridMultilevel"/>
    <w:lvl w:ilvl="0">
      <w:lvlJc w:val="left"/>
      <w:lvlText w:val="%1."/>
      <w:numFmt w:val="decimal"/>
      <w:start w:val="26"/>
    </w:lvl>
    <w:lvl w:ilvl="1">
      <w:lvlJc w:val="left"/>
      <w:lvlText w:val="(%2)"/>
      <w:numFmt w:val="lowerLetter"/>
      <w:start w:val="1"/>
    </w:lvl>
  </w:abstractNum>
  <w:abstractNum w:abstractNumId="421">
    <w:nsid w:val="3AF6A220"/>
    <w:multiLevelType w:val="hybridMultilevel"/>
    <w:lvl w:ilvl="0">
      <w:lvlJc w:val="left"/>
      <w:lvlText w:val="(%1)"/>
      <w:numFmt w:val="lowerLetter"/>
      <w:start w:val="1"/>
    </w:lvl>
  </w:abstractNum>
  <w:abstractNum w:abstractNumId="422">
    <w:nsid w:val="3C5EA902"/>
    <w:multiLevelType w:val="hybridMultilevel"/>
    <w:lvl w:ilvl="0">
      <w:lvlJc w:val="left"/>
      <w:lvlText w:val="(%1)"/>
      <w:numFmt w:val="lowerLetter"/>
      <w:start w:val="1"/>
    </w:lvl>
  </w:abstractNum>
  <w:abstractNum w:abstractNumId="423">
    <w:nsid w:val="256E6749"/>
    <w:multiLevelType w:val="hybridMultilevel"/>
    <w:lvl w:ilvl="0">
      <w:lvlJc w:val="left"/>
      <w:lvlText w:val="(%1)"/>
      <w:numFmt w:val="lowerLetter"/>
      <w:start w:val="1"/>
    </w:lvl>
    <w:lvl w:ilvl="1">
      <w:lvlJc w:val="left"/>
      <w:lvlText w:val="(%2)"/>
      <w:numFmt w:val="lowerRoman"/>
      <w:start w:val="1"/>
    </w:lvl>
  </w:abstractNum>
  <w:abstractNum w:abstractNumId="424">
    <w:nsid w:val="1CB9A581"/>
    <w:multiLevelType w:val="hybridMultilevel"/>
    <w:lvl w:ilvl="0">
      <w:lvlJc w:val="left"/>
      <w:lvlText w:val="%1."/>
      <w:numFmt w:val="decimal"/>
      <w:start w:val="28"/>
    </w:lvl>
  </w:abstractNum>
  <w:abstractNum w:abstractNumId="425">
    <w:nsid w:val="1F7F42E2"/>
    <w:multiLevelType w:val="hybridMultilevel"/>
    <w:lvl w:ilvl="0">
      <w:lvlJc w:val="left"/>
      <w:lvlText w:val="(%1)"/>
      <w:numFmt w:val="lowerLetter"/>
      <w:start w:val="1"/>
    </w:lvl>
  </w:abstractNum>
  <w:abstractNum w:abstractNumId="426">
    <w:nsid w:val="49D1FEA0"/>
    <w:multiLevelType w:val="hybridMultilevel"/>
    <w:lvl w:ilvl="0">
      <w:lvlJc w:val="left"/>
      <w:lvlText w:val="(%1)"/>
      <w:numFmt w:val="lowerLetter"/>
      <w:start w:val="1"/>
    </w:lvl>
  </w:abstractNum>
  <w:abstractNum w:abstractNumId="427">
    <w:nsid w:val="268CB37F"/>
    <w:multiLevelType w:val="hybridMultilevel"/>
    <w:lvl w:ilvl="0">
      <w:lvlJc w:val="left"/>
      <w:lvlText w:val="(%1)"/>
      <w:numFmt w:val="lowerLetter"/>
      <w:start w:val="3"/>
    </w:lvl>
    <w:lvl w:ilvl="1">
      <w:lvlJc w:val="left"/>
      <w:lvlText w:val="(%2)"/>
      <w:numFmt w:val="lowerRoman"/>
      <w:start w:val="1"/>
    </w:lvl>
  </w:abstractNum>
  <w:abstractNum w:abstractNumId="428">
    <w:nsid w:val="102362F8"/>
    <w:multiLevelType w:val="hybridMultilevel"/>
    <w:lvl w:ilvl="0">
      <w:lvlJc w:val="left"/>
      <w:lvlText w:val="(%1)"/>
      <w:numFmt w:val="lowerLetter"/>
      <w:start w:val="1"/>
    </w:lvl>
    <w:lvl w:ilvl="1">
      <w:lvlJc w:val="left"/>
      <w:lvlText w:val="(%2)"/>
      <w:numFmt w:val="lowerRoman"/>
      <w:start w:val="1"/>
    </w:lvl>
  </w:abstractNum>
  <w:abstractNum w:abstractNumId="429">
    <w:nsid w:val="5FEDC0E3"/>
    <w:multiLevelType w:val="hybridMultilevel"/>
    <w:lvl w:ilvl="0">
      <w:lvlJc w:val="left"/>
      <w:lvlText w:val="(%1)"/>
      <w:numFmt w:val="lowerLetter"/>
      <w:start w:val="2"/>
    </w:lvl>
    <w:lvl w:ilvl="1">
      <w:lvlJc w:val="left"/>
      <w:lvlText w:val="(%2)"/>
      <w:numFmt w:val="lowerRoman"/>
      <w:start w:val="1"/>
    </w:lvl>
  </w:abstractNum>
  <w:abstractNum w:abstractNumId="430">
    <w:nsid w:val="3D75BC47"/>
    <w:multiLevelType w:val="hybridMultilevel"/>
    <w:lvl w:ilvl="0">
      <w:lvlJc w:val="left"/>
      <w:lvlText w:val="(%1)"/>
      <w:numFmt w:val="lowerLetter"/>
      <w:start w:val="1"/>
    </w:lvl>
    <w:lvl w:ilvl="1">
      <w:lvlJc w:val="left"/>
      <w:lvlText w:val="(%2)"/>
      <w:numFmt w:val="lowerRoman"/>
      <w:start w:val="1"/>
    </w:lvl>
  </w:abstractNum>
  <w:abstractNum w:abstractNumId="431">
    <w:nsid w:val="3E30D969"/>
    <w:multiLevelType w:val="hybridMultilevel"/>
    <w:lvl w:ilvl="0">
      <w:lvlJc w:val="left"/>
      <w:lvlText w:val="(%1)"/>
      <w:numFmt w:val="lowerLetter"/>
      <w:start w:val="1"/>
    </w:lvl>
  </w:abstractNum>
  <w:abstractNum w:abstractNumId="432">
    <w:nsid w:val="18A35FE3"/>
    <w:multiLevelType w:val="hybridMultilevel"/>
    <w:lvl w:ilvl="0">
      <w:lvlJc w:val="left"/>
      <w:lvlText w:val="(%1)"/>
      <w:numFmt w:val="lowerLetter"/>
      <w:start w:val="1"/>
    </w:lvl>
  </w:abstractNum>
  <w:abstractNum w:abstractNumId="433">
    <w:nsid w:val="6DEF5211"/>
    <w:multiLevelType w:val="hybridMultilevel"/>
    <w:lvl w:ilvl="0">
      <w:lvlJc w:val="left"/>
      <w:lvlText w:val="(%1)"/>
      <w:numFmt w:val="lowerLetter"/>
      <w:start w:val="1"/>
    </w:lvl>
  </w:abstractNum>
  <w:abstractNum w:abstractNumId="434">
    <w:nsid w:val="1112DBB6"/>
    <w:multiLevelType w:val="hybridMultilevel"/>
    <w:lvl w:ilvl="0">
      <w:lvlJc w:val="left"/>
      <w:lvlText w:val="(%1)"/>
      <w:numFmt w:val="lowerRoman"/>
      <w:start w:val="1"/>
    </w:lvl>
  </w:abstractNum>
  <w:abstractNum w:abstractNumId="435">
    <w:nsid w:val="2586A498"/>
    <w:multiLevelType w:val="hybridMultilevel"/>
    <w:lvl w:ilvl="0">
      <w:lvlJc w:val="left"/>
      <w:lvlText w:val="(%1)"/>
      <w:numFmt w:val="lowerLetter"/>
      <w:start w:val="2"/>
    </w:lvl>
  </w:abstractNum>
  <w:abstractNum w:abstractNumId="436">
    <w:nsid w:val="17A03BB9"/>
    <w:multiLevelType w:val="hybridMultilevel"/>
    <w:lvl w:ilvl="0">
      <w:lvlJc w:val="left"/>
      <w:lvlText w:val="(%1)"/>
      <w:numFmt w:val="lowerLetter"/>
      <w:start w:val="1"/>
    </w:lvl>
  </w:abstractNum>
  <w:abstractNum w:abstractNumId="437">
    <w:nsid w:val="5CA941"/>
    <w:multiLevelType w:val="hybridMultilevel"/>
    <w:lvl w:ilvl="0">
      <w:lvlJc w:val="left"/>
      <w:lvlText w:val="%1."/>
      <w:numFmt w:val="decimal"/>
      <w:start w:val="29"/>
    </w:lvl>
  </w:abstractNum>
  <w:abstractNum w:abstractNumId="438">
    <w:nsid w:val="734C7D9F"/>
    <w:multiLevelType w:val="hybridMultilevel"/>
    <w:lvl w:ilvl="0">
      <w:lvlJc w:val="left"/>
      <w:lvlText w:val="(%1)"/>
      <w:numFmt w:val="lowerLetter"/>
      <w:start w:val="1"/>
    </w:lvl>
  </w:abstractNum>
  <w:abstractNum w:abstractNumId="439">
    <w:nsid w:val="24F5D018"/>
    <w:multiLevelType w:val="hybridMultilevel"/>
    <w:lvl w:ilvl="0">
      <w:lvlJc w:val="left"/>
      <w:lvlText w:val="(%1)"/>
      <w:numFmt w:val="lowerLetter"/>
      <w:start w:val="1"/>
    </w:lvl>
    <w:lvl w:ilvl="1">
      <w:lvlJc w:val="left"/>
      <w:lvlText w:val="(%2)"/>
      <w:numFmt w:val="lowerRoman"/>
      <w:start w:val="1"/>
    </w:lvl>
  </w:abstractNum>
  <w:abstractNum w:abstractNumId="440">
    <w:nsid w:val="6780C122"/>
    <w:multiLevelType w:val="hybridMultilevel"/>
    <w:lvl w:ilvl="0">
      <w:lvlJc w:val="left"/>
      <w:lvlText w:val="(%1)"/>
      <w:numFmt w:val="lowerLetter"/>
      <w:start w:val="2"/>
    </w:lvl>
  </w:abstractNum>
  <w:abstractNum w:abstractNumId="441">
    <w:nsid w:val="534347A8"/>
    <w:multiLevelType w:val="hybridMultilevel"/>
    <w:lvl w:ilvl="0">
      <w:lvlJc w:val="left"/>
      <w:lvlText w:val="(%1)"/>
      <w:numFmt w:val="lowerLetter"/>
      <w:start w:val="4"/>
    </w:lvl>
  </w:abstractNum>
  <w:abstractNum w:abstractNumId="442">
    <w:nsid w:val="5800E34B"/>
    <w:multiLevelType w:val="hybridMultilevel"/>
    <w:lvl w:ilvl="0">
      <w:lvlJc w:val="left"/>
      <w:lvlText w:val="(%1)"/>
      <w:numFmt w:val="lowerLetter"/>
      <w:start w:val="1"/>
    </w:lvl>
    <w:lvl w:ilvl="1">
      <w:lvlJc w:val="left"/>
      <w:lvlText w:val="(%2)"/>
      <w:numFmt w:val="lowerRoman"/>
      <w:start w:val="1"/>
    </w:lvl>
  </w:abstractNum>
  <w:abstractNum w:abstractNumId="443">
    <w:nsid w:val="1673EFC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4">
    <w:nsid w:val="5B9B1FD"/>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445">
    <w:nsid w:val="7AD7FC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6">
    <w:nsid w:val="63351604"/>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447">
    <w:nsid w:val="E759D1A"/>
    <w:multiLevelType w:val="hybridMultilevel"/>
    <w:lvl w:ilvl="0">
      <w:lvlJc w:val="left"/>
      <w:lvlText w:val="%1."/>
      <w:numFmt w:val="decimal"/>
      <w:start w:val="34"/>
    </w:lvl>
  </w:abstractNum>
  <w:abstractNum w:abstractNumId="448">
    <w:nsid w:val="6E3DEE90"/>
    <w:multiLevelType w:val="hybridMultilevel"/>
    <w:lvl w:ilvl="0">
      <w:lvlJc w:val="left"/>
      <w:lvlText w:val="(%1)"/>
      <w:numFmt w:val="lowerLetter"/>
      <w:start w:val="1"/>
    </w:lvl>
  </w:abstractNum>
  <w:abstractNum w:abstractNumId="449">
    <w:nsid w:val="1A8762F4"/>
    <w:multiLevelType w:val="hybridMultilevel"/>
    <w:lvl w:ilvl="0">
      <w:lvlJc w:val="left"/>
      <w:lvlText w:val="(%1)"/>
      <w:numFmt w:val="lowerLetter"/>
      <w:start w:val="1"/>
    </w:lvl>
  </w:abstractNum>
  <w:abstractNum w:abstractNumId="450">
    <w:nsid w:val="7F41D049"/>
    <w:multiLevelType w:val="hybridMultilevel"/>
    <w:lvl w:ilvl="0">
      <w:lvlJc w:val="left"/>
      <w:lvlText w:val="(%1)"/>
      <w:numFmt w:val="lowerLetter"/>
      <w:start w:val="1"/>
    </w:lvl>
    <w:lvl w:ilvl="1">
      <w:lvlJc w:val="left"/>
      <w:lvlText w:val="(%2)"/>
      <w:numFmt w:val="lowerLetter"/>
      <w:start w:val="9"/>
    </w:lvl>
  </w:abstractNum>
  <w:abstractNum w:abstractNumId="451">
    <w:nsid w:val="449F66FE"/>
    <w:multiLevelType w:val="hybridMultilevel"/>
    <w:lvl w:ilvl="0">
      <w:lvlJc w:val="left"/>
      <w:lvlText w:val="(%1)"/>
      <w:numFmt w:val="upperLetter"/>
      <w:start w:val="1"/>
    </w:lvl>
  </w:abstractNum>
  <w:abstractNum w:abstractNumId="452">
    <w:nsid w:val="557E0515"/>
    <w:multiLevelType w:val="hybridMultilevel"/>
    <w:lvl w:ilvl="0">
      <w:lvlJc w:val="left"/>
      <w:lvlText w:val="(%1)"/>
      <w:numFmt w:val="lowerLetter"/>
      <w:start w:val="2"/>
    </w:lvl>
    <w:lvl w:ilvl="1">
      <w:lvlJc w:val="left"/>
      <w:lvlText w:val="(%2)"/>
      <w:numFmt w:val="lowerRoman"/>
      <w:start w:val="1"/>
    </w:lvl>
  </w:abstractNum>
  <w:abstractNum w:abstractNumId="453">
    <w:nsid w:val="3BA0794B"/>
    <w:multiLevelType w:val="hybridMultilevel"/>
    <w:lvl w:ilvl="0">
      <w:lvlJc w:val="left"/>
      <w:lvlText w:val="(%1)"/>
      <w:numFmt w:val="lowerLetter"/>
      <w:start w:val="3"/>
    </w:lvl>
  </w:abstractNum>
  <w:abstractNum w:abstractNumId="454">
    <w:nsid w:val="6A0DCE48"/>
    <w:multiLevelType w:val="hybridMultilevel"/>
    <w:lvl w:ilvl="0">
      <w:lvlJc w:val="left"/>
      <w:lvlText w:val="(%1)"/>
      <w:numFmt w:val="lowerRoman"/>
      <w:start w:val="1"/>
    </w:lvl>
  </w:abstractNum>
  <w:abstractNum w:abstractNumId="455">
    <w:nsid w:val="7237AA96"/>
    <w:multiLevelType w:val="hybridMultilevel"/>
    <w:lvl w:ilvl="0">
      <w:lvlJc w:val="left"/>
      <w:lvlText w:val="(%1)"/>
      <w:numFmt w:val="upperLetter"/>
      <w:start w:val="1"/>
    </w:lvl>
  </w:abstractNum>
  <w:abstractNum w:abstractNumId="456">
    <w:nsid w:val="5B1FBC2D"/>
    <w:multiLevelType w:val="hybridMultilevel"/>
    <w:lvl w:ilvl="0">
      <w:lvlJc w:val="left"/>
      <w:lvlText w:val="(%1)"/>
      <w:numFmt w:val="lowerRoman"/>
      <w:start w:val="2"/>
    </w:lvl>
  </w:abstractNum>
  <w:abstractNum w:abstractNumId="457">
    <w:nsid w:val="33DFCCE8"/>
    <w:multiLevelType w:val="hybridMultilevel"/>
    <w:lvl w:ilvl="0">
      <w:lvlJc w:val="left"/>
      <w:lvlText w:val="(%1)"/>
      <w:numFmt w:val="lowerRoman"/>
      <w:start w:val="3"/>
    </w:lvl>
  </w:abstractNum>
  <w:abstractNum w:abstractNumId="458">
    <w:nsid w:val="18C45E15"/>
    <w:multiLevelType w:val="hybridMultilevel"/>
    <w:lvl w:ilvl="0">
      <w:lvlJc w:val="left"/>
      <w:lvlText w:val="(%1)"/>
      <w:numFmt w:val="lowerRoman"/>
      <w:start w:val="1"/>
    </w:lvl>
  </w:abstractNum>
  <w:abstractNum w:abstractNumId="459">
    <w:nsid w:val="6B431F25"/>
    <w:multiLevelType w:val="hybridMultilevel"/>
    <w:lvl w:ilvl="0">
      <w:lvlJc w:val="left"/>
      <w:lvlText w:val="(%1)"/>
      <w:numFmt w:val="lowerRoman"/>
      <w:start w:val="4"/>
    </w:lvl>
  </w:abstractNum>
  <w:abstractNum w:abstractNumId="460">
    <w:nsid w:val="13CD8DCB"/>
    <w:multiLevelType w:val="hybridMultilevel"/>
    <w:lvl w:ilvl="0">
      <w:lvlJc w:val="left"/>
      <w:lvlText w:val="(%1)"/>
      <w:numFmt w:val="lowerRoman"/>
      <w:start w:val="1"/>
    </w:lvl>
    <w:lvl w:ilvl="1">
      <w:lvlJc w:val="left"/>
      <w:lvlText w:val="(%2)"/>
      <w:numFmt w:val="lowerRoman"/>
      <w:start w:val="1"/>
    </w:lvl>
  </w:abstractNum>
  <w:abstractNum w:abstractNumId="461">
    <w:nsid w:val="563A1A5C"/>
    <w:multiLevelType w:val="hybridMultilevel"/>
    <w:lvl w:ilvl="0">
      <w:lvlJc w:val="left"/>
      <w:lvlText w:val="(%1)"/>
      <w:numFmt w:val="lowerRoman"/>
      <w:start w:val="2"/>
    </w:lvl>
  </w:abstractNum>
  <w:abstractNum w:abstractNumId="462">
    <w:nsid w:val="2973F88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3">
    <w:nsid w:val="2C70EDAE"/>
    <w:multiLevelType w:val="hybridMultilevel"/>
    <w:lvl w:ilvl="0">
      <w:lvlJc w:val="left"/>
      <w:lvlText w:val="(%1)"/>
      <w:numFmt w:val="lowerLetter"/>
      <w:start w:val="2"/>
    </w:lvl>
    <w:lvl w:ilvl="1">
      <w:lvlJc w:val="left"/>
      <w:lvlText w:val="(%2)"/>
      <w:numFmt w:val="lowerRoman"/>
      <w:start w:val="1"/>
    </w:lvl>
  </w:abstractNum>
  <w:abstractNum w:abstractNumId="464">
    <w:nsid w:val="44296C6D"/>
    <w:multiLevelType w:val="hybridMultilevel"/>
    <w:lvl w:ilvl="0">
      <w:lvlJc w:val="left"/>
      <w:lvlText w:val="(%1)"/>
      <w:numFmt w:val="lowerRoman"/>
      <w:start w:val="1"/>
    </w:lvl>
  </w:abstractNum>
  <w:abstractNum w:abstractNumId="465">
    <w:nsid w:val="3A86D445"/>
    <w:multiLevelType w:val="hybridMultilevel"/>
    <w:lvl w:ilvl="0">
      <w:lvlJc w:val="left"/>
      <w:lvlText w:val="(%1)"/>
      <w:numFmt w:val="lowerLetter"/>
      <w:start w:val="1"/>
    </w:lvl>
    <w:lvl w:ilvl="1">
      <w:lvlJc w:val="left"/>
      <w:lvlText w:val="(%2)"/>
      <w:numFmt w:val="lowerRoman"/>
      <w:start w:val="1"/>
    </w:lvl>
  </w:abstractNum>
  <w:abstractNum w:abstractNumId="466">
    <w:nsid w:val="51F79246"/>
    <w:multiLevelType w:val="hybridMultilevel"/>
    <w:lvl w:ilvl="0">
      <w:lvlJc w:val="left"/>
      <w:lvlText w:val="(%1)"/>
      <w:numFmt w:val="upperLetter"/>
      <w:start w:val="1"/>
    </w:lvl>
  </w:abstractNum>
  <w:abstractNum w:abstractNumId="467">
    <w:nsid w:val="5BC9A82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8">
    <w:nsid w:val="3AE37D86"/>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469">
    <w:nsid w:val="45440FE5"/>
    <w:multiLevelType w:val="hybridMultilevel"/>
    <w:lvl w:ilvl="0">
      <w:lvlJc w:val="left"/>
      <w:lvlText w:val="(%1)"/>
      <w:numFmt w:val="lowerLetter"/>
      <w:start w:val="1"/>
    </w:lvl>
  </w:abstractNum>
  <w:abstractNum w:abstractNumId="470">
    <w:nsid w:val="BF783F"/>
    <w:multiLevelType w:val="hybridMultilevel"/>
    <w:lvl w:ilvl="0">
      <w:lvlJc w:val="left"/>
      <w:lvlText w:val="(%1)"/>
      <w:numFmt w:val="lowerLetter"/>
      <w:start w:val="2"/>
    </w:lvl>
    <w:lvl w:ilvl="1">
      <w:lvlJc w:val="left"/>
      <w:lvlText w:val="(%2)"/>
      <w:numFmt w:val="lowerRoman"/>
      <w:start w:val="1"/>
    </w:lvl>
  </w:abstractNum>
  <w:abstractNum w:abstractNumId="471">
    <w:nsid w:val="22643EA9"/>
    <w:multiLevelType w:val="hybridMultilevel"/>
    <w:lvl w:ilvl="0">
      <w:lvlJc w:val="left"/>
      <w:lvlText w:val="(%1)"/>
      <w:numFmt w:val="upperLetter"/>
      <w:start w:val="1"/>
    </w:lvl>
  </w:abstractNum>
  <w:abstractNum w:abstractNumId="472">
    <w:nsid w:val="1887578D"/>
    <w:multiLevelType w:val="hybridMultilevel"/>
    <w:lvl w:ilvl="0">
      <w:lvlJc w:val="left"/>
      <w:lvlText w:val="%1"/>
      <w:numFmt w:val="lowerLetter"/>
      <w:start w:val="1"/>
    </w:lvl>
    <w:lvl w:ilvl="1">
      <w:lvlJc w:val="left"/>
      <w:lvlText w:val="(%2)"/>
      <w:numFmt w:val="upperLetter"/>
      <w:start w:val="3"/>
    </w:lvl>
  </w:abstractNum>
  <w:abstractNum w:abstractNumId="473">
    <w:nsid w:val="58C05B8A"/>
    <w:multiLevelType w:val="hybridMultilevel"/>
    <w:lvl w:ilvl="0">
      <w:lvlJc w:val="left"/>
      <w:lvlText w:val="(%1)"/>
      <w:numFmt w:val="lowerLetter"/>
      <w:start w:val="3"/>
    </w:lvl>
    <w:lvl w:ilvl="1">
      <w:lvlJc w:val="left"/>
      <w:lvlText w:val="%2"/>
      <w:numFmt w:val="upperLetter"/>
      <w:start w:val="1"/>
    </w:lvl>
  </w:abstractNum>
  <w:abstractNum w:abstractNumId="474">
    <w:nsid w:val="38D82E71"/>
    <w:multiLevelType w:val="hybridMultilevel"/>
    <w:lvl w:ilvl="0">
      <w:lvlJc w:val="left"/>
      <w:lvlText w:val="(%1)"/>
      <w:numFmt w:val="lowerLetter"/>
      <w:start w:val="1"/>
    </w:lvl>
    <w:lvl w:ilvl="1">
      <w:lvlJc w:val="left"/>
      <w:lvlText w:val="(%2)"/>
      <w:numFmt w:val="lowerRoman"/>
      <w:start w:val="1"/>
    </w:lvl>
  </w:abstractNum>
  <w:abstractNum w:abstractNumId="475">
    <w:nsid w:val="1E41098A"/>
    <w:multiLevelType w:val="hybridMultilevel"/>
    <w:lvl w:ilvl="0">
      <w:lvlJc w:val="left"/>
      <w:lvlText w:val="(%1)"/>
      <w:numFmt w:val="lowerRoman"/>
      <w:start w:val="11"/>
    </w:lvl>
  </w:abstractNum>
  <w:abstractNum w:abstractNumId="476">
    <w:nsid w:val="5398582C"/>
    <w:multiLevelType w:val="hybridMultilevel"/>
    <w:lvl w:ilvl="0">
      <w:lvlJc w:val="left"/>
      <w:lvlText w:val="(%1)"/>
      <w:numFmt w:val="lowerLetter"/>
      <w:start w:val="2"/>
    </w:lvl>
  </w:abstractNum>
  <w:abstractNum w:abstractNumId="477">
    <w:nsid w:val="1C0D4475"/>
    <w:multiLevelType w:val="hybridMultilevel"/>
    <w:lvl w:ilvl="0">
      <w:lvlJc w:val="left"/>
      <w:lvlText w:val="(%1)"/>
      <w:numFmt w:val="lowerRoman"/>
      <w:start w:val="1"/>
    </w:lvl>
  </w:abstractNum>
  <w:abstractNum w:abstractNumId="478">
    <w:nsid w:val="2CB6A6A4"/>
    <w:multiLevelType w:val="hybridMultilevel"/>
    <w:lvl w:ilvl="0">
      <w:lvlJc w:val="left"/>
      <w:lvlText w:val="(%1)"/>
      <w:numFmt w:val="lowerLetter"/>
      <w:start w:val="1"/>
    </w:lvl>
  </w:abstractNum>
  <w:abstractNum w:abstractNumId="479">
    <w:nsid w:val="41D646BC"/>
    <w:multiLevelType w:val="hybridMultilevel"/>
    <w:lvl w:ilvl="0">
      <w:lvlJc w:val="left"/>
      <w:lvlText w:val="%1"/>
      <w:numFmt w:val="decimal"/>
      <w:start w:val="1"/>
    </w:lvl>
    <w:lvl w:ilvl="1">
      <w:lvlJc w:val="left"/>
      <w:lvlText w:val="(%2)"/>
      <w:numFmt w:val="lowerLetter"/>
      <w:start w:val="1"/>
    </w:lvl>
  </w:abstractNum>
  <w:abstractNum w:abstractNumId="480">
    <w:nsid w:val="3694A76A"/>
    <w:multiLevelType w:val="hybridMultilevel"/>
    <w:lvl w:ilvl="0">
      <w:lvlJc w:val="left"/>
      <w:lvlText w:val="%1."/>
      <w:numFmt w:val="decimal"/>
      <w:start w:val="36"/>
    </w:lvl>
    <w:lvl w:ilvl="1">
      <w:lvlJc w:val="left"/>
      <w:lvlText w:val="%2"/>
      <w:numFmt w:val="lowerLetter"/>
      <w:start w:val="1"/>
    </w:lvl>
  </w:abstractNum>
  <w:abstractNum w:abstractNumId="481">
    <w:nsid w:val="2BF876EE"/>
    <w:multiLevelType w:val="hybridMultilevel"/>
    <w:lvl w:ilvl="0">
      <w:lvlJc w:val="left"/>
      <w:lvlText w:val="(%1)"/>
      <w:numFmt w:val="lowerLetter"/>
      <w:start w:val="1"/>
    </w:lvl>
    <w:lvl w:ilvl="1">
      <w:lvlJc w:val="left"/>
      <w:lvlText w:val="(%2)"/>
      <w:numFmt w:val="lowerRoman"/>
      <w:start w:val="1"/>
    </w:lvl>
  </w:abstractNum>
  <w:abstractNum w:abstractNumId="482">
    <w:nsid w:val="675ADBA"/>
    <w:multiLevelType w:val="hybridMultilevel"/>
    <w:lvl w:ilvl="0">
      <w:lvlJc w:val="left"/>
      <w:lvlText w:val="(%1)"/>
      <w:numFmt w:val="lowerLetter"/>
      <w:start w:val="1"/>
    </w:lvl>
  </w:abstractNum>
  <w:abstractNum w:abstractNumId="483">
    <w:nsid w:val="C12AC7F"/>
    <w:multiLevelType w:val="hybridMultilevel"/>
    <w:lvl w:ilvl="0">
      <w:lvlJc w:val="left"/>
      <w:lvlText w:val="%1"/>
      <w:numFmt w:val="decimal"/>
      <w:start w:val="1"/>
    </w:lvl>
    <w:lvl w:ilvl="1">
      <w:lvlJc w:val="left"/>
      <w:lvlText w:val="(%2)"/>
      <w:numFmt w:val="lowerRoman"/>
      <w:start w:val="1"/>
    </w:lvl>
  </w:abstractNum>
  <w:abstractNum w:abstractNumId="484">
    <w:nsid w:val="6798F039"/>
    <w:multiLevelType w:val="hybridMultilevel"/>
    <w:lvl w:ilvl="0">
      <w:lvlJc w:val="left"/>
      <w:lvlText w:val="%1."/>
      <w:numFmt w:val="decimal"/>
      <w:start w:val="37"/>
    </w:lvl>
    <w:lvl w:ilvl="1">
      <w:lvlJc w:val="left"/>
      <w:lvlText w:val="%2"/>
      <w:numFmt w:val="lowerRoman"/>
      <w:start w:val="1"/>
    </w:lvl>
  </w:abstractNum>
  <w:abstractNum w:abstractNumId="485">
    <w:nsid w:val="70837C02"/>
    <w:multiLevelType w:val="hybridMultilevel"/>
    <w:lvl w:ilvl="0">
      <w:lvlJc w:val="left"/>
      <w:lvlText w:val="(%1)"/>
      <w:numFmt w:val="lowerLetter"/>
      <w:start w:val="1"/>
    </w:lvl>
    <w:lvl w:ilvl="1">
      <w:lvlJc w:val="left"/>
      <w:lvlText w:val="(%2)"/>
      <w:numFmt w:val="lowerRoman"/>
      <w:start w:val="1"/>
    </w:lvl>
  </w:abstractNum>
  <w:abstractNum w:abstractNumId="486">
    <w:nsid w:val="7E4A5715"/>
    <w:multiLevelType w:val="hybridMultilevel"/>
    <w:lvl w:ilvl="0">
      <w:lvlJc w:val="left"/>
      <w:lvlText w:val="(%1)"/>
      <w:numFmt w:val="lowerLetter"/>
      <w:start w:val="1"/>
    </w:lvl>
  </w:abstractNum>
  <w:abstractNum w:abstractNumId="487">
    <w:nsid w:val="42B8AC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8">
    <w:nsid w:val="246348EA"/>
    <w:multiLevelType w:val="hybridMultilevel"/>
    <w:lvl w:ilvl="0">
      <w:lvlJc w:val="left"/>
      <w:lvlText w:val="%1."/>
      <w:numFmt w:val="decimal"/>
      <w:start w:val="38"/>
    </w:lvl>
    <w:lvl w:ilvl="1">
      <w:lvlJc w:val="left"/>
      <w:lvlText w:val="%2"/>
      <w:numFmt w:val="lowerLetter"/>
      <w:start w:val="1"/>
    </w:lvl>
    <w:lvl w:ilvl="2">
      <w:lvlJc w:val="left"/>
      <w:lvlText w:val="%3"/>
      <w:numFmt w:val="lowerRoman"/>
      <w:start w:val="1"/>
    </w:lvl>
  </w:abstractNum>
  <w:abstractNum w:abstractNumId="489">
    <w:nsid w:val="170EB52B"/>
    <w:multiLevelType w:val="hybridMultilevel"/>
    <w:lvl w:ilvl="0">
      <w:lvlJc w:val="left"/>
      <w:lvlText w:val="%1."/>
      <w:numFmt w:val="decimal"/>
      <w:start w:val="39"/>
    </w:lvl>
  </w:abstractNum>
  <w:abstractNum w:abstractNumId="490">
    <w:nsid w:val="2DFBCB8C"/>
    <w:multiLevelType w:val="hybridMultilevel"/>
    <w:lvl w:ilvl="0">
      <w:lvlJc w:val="left"/>
      <w:lvlText w:val="(%1)"/>
      <w:numFmt w:val="lowerLetter"/>
      <w:start w:val="1"/>
    </w:lvl>
  </w:abstractNum>
  <w:abstractNum w:abstractNumId="491">
    <w:nsid w:val="3830D6B6"/>
    <w:multiLevelType w:val="hybridMultilevel"/>
    <w:lvl w:ilvl="0">
      <w:lvlJc w:val="left"/>
      <w:lvlText w:val="(%1)"/>
      <w:numFmt w:val="lowerRoman"/>
      <w:start w:val="1"/>
    </w:lvl>
  </w:abstractNum>
  <w:abstractNum w:abstractNumId="492">
    <w:nsid w:val="6D48CF87"/>
    <w:multiLevelType w:val="hybridMultilevel"/>
    <w:lvl w:ilvl="0">
      <w:lvlJc w:val="left"/>
      <w:lvlText w:val="%1."/>
      <w:numFmt w:val="decimal"/>
      <w:start w:val="1"/>
    </w:lvl>
    <w:lvl w:ilvl="1">
      <w:lvlJc w:val="left"/>
      <w:lvlText w:val="(%2)"/>
      <w:numFmt w:val="lowerLetter"/>
      <w:start w:val="1"/>
    </w:lvl>
  </w:abstractNum>
  <w:abstractNum w:abstractNumId="493">
    <w:nsid w:val="576FC41B"/>
    <w:multiLevelType w:val="hybridMultilevel"/>
    <w:lvl w:ilvl="0">
      <w:lvlJc w:val="left"/>
      <w:lvlText w:val="(%1)"/>
      <w:numFmt w:val="lowerRoman"/>
      <w:start w:val="1"/>
    </w:lvl>
  </w:abstractNum>
  <w:abstractNum w:abstractNumId="494">
    <w:nsid w:val="64A1C464"/>
    <w:multiLevelType w:val="hybridMultilevel"/>
    <w:lvl w:ilvl="0">
      <w:lvlJc w:val="left"/>
      <w:lvlText w:val="(%1)"/>
      <w:numFmt w:val="lowerLetter"/>
      <w:start w:val="3"/>
    </w:lvl>
  </w:abstractNum>
  <w:abstractNum w:abstractNumId="495">
    <w:nsid w:val="31723BF5"/>
    <w:multiLevelType w:val="hybridMultilevel"/>
    <w:lvl w:ilvl="0">
      <w:lvlJc w:val="left"/>
      <w:lvlText w:val="(%1)"/>
      <w:numFmt w:val="lowerRoman"/>
      <w:start w:val="1"/>
    </w:lvl>
  </w:abstractNum>
  <w:abstractNum w:abstractNumId="496">
    <w:nsid w:val="11F69861"/>
    <w:multiLevelType w:val="hybridMultilevel"/>
    <w:lvl w:ilvl="0">
      <w:lvlJc w:val="left"/>
      <w:lvlText w:val="(%1)"/>
      <w:numFmt w:val="lowerRoman"/>
      <w:start w:val="2"/>
    </w:lvl>
  </w:abstractNum>
  <w:abstractNum w:abstractNumId="497">
    <w:nsid w:val="369956AB"/>
    <w:multiLevelType w:val="hybridMultilevel"/>
    <w:lvl w:ilvl="0">
      <w:lvlJc w:val="left"/>
      <w:lvlText w:val="%1."/>
      <w:numFmt w:val="decimal"/>
      <w:start w:val="2"/>
    </w:lvl>
    <w:lvl w:ilvl="1">
      <w:lvlJc w:val="left"/>
      <w:lvlText w:val="(%2)"/>
      <w:numFmt w:val="lowerLetter"/>
      <w:start w:val="1"/>
    </w:lvl>
  </w:abstractNum>
  <w:abstractNum w:abstractNumId="498">
    <w:nsid w:val="D3BE41C"/>
    <w:multiLevelType w:val="hybridMultilevel"/>
    <w:lvl w:ilvl="0">
      <w:lvlJc w:val="left"/>
      <w:lvlText w:val="%1."/>
      <w:numFmt w:val="decimal"/>
      <w:start w:val="1"/>
    </w:lvl>
    <w:lvl w:ilvl="1">
      <w:lvlJc w:val="left"/>
      <w:lvlText w:val="(%2)"/>
      <w:numFmt w:val="lowerLetter"/>
      <w:start w:val="1"/>
    </w:lvl>
  </w:abstractNum>
  <w:abstractNum w:abstractNumId="499">
    <w:nsid w:val="4CDA15E7"/>
    <w:multiLevelType w:val="hybridMultilevel"/>
    <w:lvl w:ilvl="0">
      <w:lvlJc w:val="left"/>
      <w:lvlText w:val="(%1)"/>
      <w:numFmt w:val="lowerLetter"/>
      <w:start w:val="1"/>
    </w:lvl>
  </w:abstractNum>
  <w:abstractNum w:abstractNumId="500">
    <w:nsid w:val="7BDD6690"/>
    <w:multiLevelType w:val="hybridMultilevel"/>
    <w:lvl w:ilvl="0">
      <w:lvlJc w:val="left"/>
      <w:lvlText w:val="(%1)"/>
      <w:numFmt w:val="lowerLetter"/>
      <w:start w:val="1"/>
    </w:lvl>
  </w:abstractNum>
  <w:abstractNum w:abstractNumId="501">
    <w:nsid w:val="DFB5C5B"/>
    <w:multiLevelType w:val="hybridMultilevel"/>
    <w:lvl w:ilvl="0">
      <w:lvlJc w:val="left"/>
      <w:lvlText w:val="(%1)"/>
      <w:numFmt w:val="lowerLetter"/>
      <w:start w:val="2"/>
    </w:lvl>
  </w:abstractNum>
  <w:abstractNum w:abstractNumId="502">
    <w:nsid w:val="6F3E5490"/>
    <w:multiLevelType w:val="hybridMultilevel"/>
    <w:lvl w:ilvl="0">
      <w:lvlJc w:val="left"/>
      <w:lvlText w:val="(%1)"/>
      <w:numFmt w:val="lowerLetter"/>
      <w:start w:val="2"/>
    </w:lvl>
  </w:abstractNum>
  <w:abstractNum w:abstractNumId="503">
    <w:nsid w:val="1464BE1E"/>
    <w:multiLevelType w:val="hybridMultilevel"/>
    <w:lvl w:ilvl="0">
      <w:lvlJc w:val="left"/>
      <w:lvlText w:val="%1."/>
      <w:numFmt w:val="decimal"/>
      <w:start w:val="3"/>
    </w:lvl>
  </w:abstractNum>
  <w:abstractNum w:abstractNumId="504">
    <w:nsid w:val="66BBB7E5"/>
    <w:multiLevelType w:val="hybridMultilevel"/>
    <w:lvl w:ilvl="0">
      <w:lvlJc w:val="left"/>
      <w:lvlText w:val="●"/>
      <w:numFmt w:val="bullet"/>
      <w:start w:val="1"/>
    </w:lvl>
  </w:abstractNum>
  <w:abstractNum w:abstractNumId="505">
    <w:nsid w:val="28168302"/>
    <w:multiLevelType w:val="hybridMultilevel"/>
    <w:lvl w:ilvl="0">
      <w:lvlJc w:val="left"/>
      <w:lvlText w:val="●"/>
      <w:numFmt w:val="bullet"/>
      <w:start w:val="1"/>
    </w:lvl>
  </w:abstractNum>
  <w:abstractNum w:abstractNumId="506">
    <w:nsid w:val="32A5C7A8"/>
    <w:multiLevelType w:val="hybridMultilevel"/>
    <w:lvl w:ilvl="0">
      <w:lvlJc w:val="left"/>
      <w:lvlText w:val="●"/>
      <w:numFmt w:val="bullet"/>
      <w:start w:val="1"/>
    </w:lvl>
  </w:abstractNum>
  <w:abstractNum w:abstractNumId="507">
    <w:nsid w:val="3A541011"/>
    <w:multiLevelType w:val="hybridMultilevel"/>
    <w:lvl w:ilvl="0">
      <w:lvlJc w:val="left"/>
      <w:lvlText w:val="●"/>
      <w:numFmt w:val="bullet"/>
      <w:start w:val="1"/>
    </w:lvl>
  </w:abstractNum>
  <w:abstractNum w:abstractNumId="508">
    <w:nsid w:val="4423C777"/>
    <w:multiLevelType w:val="hybridMultilevel"/>
    <w:lvl w:ilvl="0">
      <w:lvlJc w:val="left"/>
      <w:lvlText w:val="●"/>
      <w:numFmt w:val="bullet"/>
      <w:start w:val="1"/>
    </w:lvl>
  </w:abstractNum>
  <w:abstractNum w:abstractNumId="509">
    <w:nsid w:val="5F5C6E4D"/>
    <w:multiLevelType w:val="hybridMultilevel"/>
    <w:lvl w:ilvl="0">
      <w:lvlJc w:val="left"/>
      <w:lvlText w:val="●"/>
      <w:numFmt w:val="bullet"/>
      <w:start w:val="1"/>
    </w:lvl>
  </w:abstractNum>
  <w:abstractNum w:abstractNumId="510">
    <w:nsid w:val="7C2A56CD"/>
    <w:multiLevelType w:val="hybridMultilevel"/>
    <w:lvl w:ilvl="0">
      <w:lvlJc w:val="left"/>
      <w:lvlText w:val="●"/>
      <w:numFmt w:val="bullet"/>
      <w:start w:val="1"/>
    </w:lvl>
  </w:abstractNum>
  <w:abstractNum w:abstractNumId="511">
    <w:nsid w:val="7AB86EE1"/>
    <w:multiLevelType w:val="hybridMultilevel"/>
    <w:lvl w:ilvl="0">
      <w:lvlJc w:val="left"/>
      <w:lvlText w:val="●"/>
      <w:numFmt w:val="bullet"/>
      <w:start w:val="1"/>
    </w:lvl>
  </w:abstractNum>
  <w:abstractNum w:abstractNumId="512">
    <w:nsid w:val="B54E53B"/>
    <w:multiLevelType w:val="hybridMultilevel"/>
    <w:lvl w:ilvl="0">
      <w:lvlJc w:val="left"/>
      <w:lvlText w:val="%1."/>
      <w:numFmt w:val="decimal"/>
      <w:start w:val="3"/>
    </w:lvl>
    <w:lvl w:ilvl="1">
      <w:lvlJc w:val="left"/>
      <w:lvlText w:val="●"/>
      <w:numFmt w:val="bullet"/>
      <w:start w:val="1"/>
    </w:lvl>
  </w:abstractNum>
  <w:abstractNum w:abstractNumId="513">
    <w:nsid w:val="2A00487"/>
    <w:multiLevelType w:val="hybridMultilevel"/>
    <w:lvl w:ilvl="0">
      <w:lvlJc w:val="left"/>
      <w:lvlText w:val="%1."/>
      <w:numFmt w:val="decimal"/>
      <w:start w:val="5"/>
    </w:lvl>
    <w:lvl w:ilvl="1">
      <w:lvlJc w:val="left"/>
      <w:lvlText w:val="●"/>
      <w:numFmt w:val="bullet"/>
      <w:start w:val="1"/>
    </w:lvl>
  </w:abstractNum>
  <w:abstractNum w:abstractNumId="514">
    <w:nsid w:val="6CB1B60"/>
    <w:multiLevelType w:val="hybridMultilevel"/>
    <w:lvl w:ilvl="0">
      <w:lvlJc w:val="left"/>
      <w:lvlText w:val="●"/>
      <w:numFmt w:val="bullet"/>
      <w:start w:val="1"/>
    </w:lvl>
  </w:abstractNum>
  <w:abstractNum w:abstractNumId="515">
    <w:nsid w:val="72EDD574"/>
    <w:multiLevelType w:val="hybridMultilevel"/>
    <w:lvl w:ilvl="0">
      <w:lvlJc w:val="left"/>
      <w:lvlText w:val="%1."/>
      <w:numFmt w:val="decimal"/>
      <w:start w:val="7"/>
    </w:lvl>
    <w:lvl w:ilvl="1">
      <w:lvlJc w:val="left"/>
      <w:lvlText w:val="●"/>
      <w:numFmt w:val="bullet"/>
      <w:start w:val="1"/>
    </w:lvl>
  </w:abstractNum>
  <w:abstractNum w:abstractNumId="516">
    <w:nsid w:val="7323808A"/>
    <w:multiLevelType w:val="hybridMultilevel"/>
    <w:lvl w:ilvl="0">
      <w:lvlJc w:val="left"/>
      <w:lvlText w:val="%1."/>
      <w:numFmt w:val="upperLetter"/>
      <w:start w:val="1"/>
    </w:lvl>
  </w:abstractNum>
  <w:abstractNum w:abstractNumId="517">
    <w:nsid w:val="5157276"/>
    <w:multiLevelType w:val="hybridMultilevel"/>
    <w:lvl w:ilvl="0">
      <w:lvlJc w:val="left"/>
      <w:lvlText w:val="%1"/>
      <w:numFmt w:val="decimal"/>
      <w:start w:val="1"/>
    </w:lvl>
    <w:lvl w:ilvl="1">
      <w:lvlJc w:val="left"/>
      <w:lvlText w:val="%2."/>
      <w:numFmt w:val="upperLetter"/>
      <w:start w:val="6"/>
    </w:lvl>
  </w:abstractNum>
  <w:abstractNum w:abstractNumId="518">
    <w:nsid w:val="35A681DB"/>
    <w:multiLevelType w:val="hybridMultilevel"/>
    <w:lvl w:ilvl="0">
      <w:lvlJc w:val="left"/>
      <w:lvlText w:val="%1."/>
      <w:numFmt w:val="decimal"/>
      <w:start w:val="3"/>
    </w:lvl>
    <w:lvl w:ilvl="1">
      <w:lvlJc w:val="left"/>
      <w:lvlText w:val="%2"/>
      <w:numFmt w:val="upperLetter"/>
      <w:start w:val="1"/>
    </w:lvl>
  </w:abstractNum>
  <w:abstractNum w:abstractNumId="519">
    <w:nsid w:val="1786C974"/>
    <w:multiLevelType w:val="hybridMultilevel"/>
    <w:lvl w:ilvl="0">
      <w:lvlJc w:val="left"/>
      <w:lvlText w:val="%1."/>
      <w:numFmt w:val="decimal"/>
      <w:start w:val="1"/>
    </w:lvl>
    <w:lvl w:ilvl="1">
      <w:lvlJc w:val="left"/>
      <w:lvlText w:val="(%2)"/>
      <w:numFmt w:val="lowerLetter"/>
      <w:start w:val="1"/>
    </w:lvl>
  </w:abstractNum>
  <w:abstractNum w:abstractNumId="520">
    <w:nsid w:val="1C2427A1"/>
    <w:multiLevelType w:val="hybridMultilevel"/>
    <w:lvl w:ilvl="0">
      <w:lvlJc w:val="left"/>
      <w:lvlText w:val="%1."/>
      <w:numFmt w:val="decimal"/>
      <w:start w:val="1"/>
    </w:lvl>
    <w:lvl w:ilvl="1">
      <w:lvlJc w:val="left"/>
      <w:lvlText w:val="(%2)"/>
      <w:numFmt w:val="lowerLetter"/>
      <w:start w:val="1"/>
    </w:lvl>
  </w:abstractNum>
  <w:abstractNum w:abstractNumId="521">
    <w:nsid w:val="63A24D68"/>
    <w:multiLevelType w:val="hybridMultilevel"/>
    <w:lvl w:ilvl="0">
      <w:lvlJc w:val="left"/>
      <w:lvlText w:val="%1."/>
      <w:numFmt w:val="decimal"/>
      <w:start w:val="1"/>
    </w:lvl>
  </w:abstractNum>
  <w:abstractNum w:abstractNumId="522">
    <w:nsid w:val="4FB7A02A"/>
    <w:multiLevelType w:val="hybridMultilevel"/>
    <w:lvl w:ilvl="0">
      <w:lvlJc w:val="left"/>
      <w:lvlText w:val="*"/>
      <w:numFmt w:val="bullet"/>
      <w:start w:val="1"/>
    </w:lvl>
  </w:abstractNum>
  <w:abstractNum w:abstractNumId="523">
    <w:nsid w:val="96CF728"/>
    <w:multiLevelType w:val="hybridMultilevel"/>
    <w:lvl w:ilvl="0">
      <w:lvlJc w:val="left"/>
      <w:lvlText w:val="%1."/>
      <w:numFmt w:val="decimal"/>
      <w:start w:val="1"/>
    </w:lvl>
  </w:abstractNum>
  <w:abstractNum w:abstractNumId="524">
    <w:nsid w:val="3B121183"/>
    <w:multiLevelType w:val="hybridMultilevel"/>
    <w:lvl w:ilvl="0">
      <w:lvlJc w:val="left"/>
      <w:lvlText w:val="*"/>
      <w:numFmt w:val="bullet"/>
      <w:start w:val="1"/>
    </w:lvl>
  </w:abstractNum>
  <w:abstractNum w:abstractNumId="525">
    <w:nsid w:val="3459648F"/>
    <w:multiLevelType w:val="hybridMultilevel"/>
    <w:lvl w:ilvl="0">
      <w:lvlJc w:val="left"/>
      <w:lvlText w:val="%1."/>
      <w:numFmt w:val="decimal"/>
      <w:start w:val="1"/>
    </w:lvl>
  </w:abstractNum>
  <w:abstractNum w:abstractNumId="526">
    <w:nsid w:val="3ADF331D"/>
    <w:multiLevelType w:val="hybridMultilevel"/>
    <w:lvl w:ilvl="0">
      <w:lvlJc w:val="left"/>
      <w:lvlText w:val="%1)"/>
      <w:numFmt w:val="lowerLetter"/>
      <w:start w:val="1"/>
    </w:lvl>
  </w:abstractNum>
  <w:abstractNum w:abstractNumId="527">
    <w:nsid w:val="4D08A9E4"/>
    <w:multiLevelType w:val="hybridMultilevel"/>
    <w:lvl w:ilvl="0">
      <w:lvlJc w:val="left"/>
      <w:lvlText w:val="%1)"/>
      <w:numFmt w:val="lowerLetter"/>
      <w:start w:val="7"/>
    </w:lvl>
  </w:abstractNum>
  <w:abstractNum w:abstractNumId="528">
    <w:nsid w:val="6AF2BB3A"/>
    <w:multiLevelType w:val="hybridMultilevel"/>
    <w:lvl w:ilvl="0">
      <w:lvlJc w:val="left"/>
      <w:lvlText w:val="%1"/>
      <w:numFmt w:val="decimal"/>
      <w:start w:val="1"/>
    </w:lvl>
    <w:lvl w:ilvl="1">
      <w:lvlJc w:val="left"/>
      <w:lvlText w:val="%2)"/>
      <w:numFmt w:val="lowerLetter"/>
      <w:start w:val="14"/>
    </w:lvl>
  </w:abstractNum>
  <w:abstractNum w:abstractNumId="529">
    <w:nsid w:val="481B1739"/>
    <w:multiLevelType w:val="hybridMultilevel"/>
    <w:lvl w:ilvl="0">
      <w:lvlJc w:val="left"/>
      <w:lvlText w:val="%1."/>
      <w:numFmt w:val="decimal"/>
      <w:start w:val="2"/>
    </w:lvl>
    <w:lvl w:ilvl="1">
      <w:lvlJc w:val="left"/>
      <w:lvlText w:val="%2"/>
      <w:numFmt w:val="lowerLetter"/>
      <w:start w:val="1"/>
    </w:lvl>
  </w:abstractNum>
  <w:abstractNum w:abstractNumId="530">
    <w:nsid w:val="19E2BFCC"/>
    <w:multiLevelType w:val="hybridMultilevel"/>
    <w:lvl w:ilvl="0">
      <w:lvlJc w:val="left"/>
      <w:lvlText w:val="%1."/>
      <w:numFmt w:val="decimal"/>
      <w:start w:val="3"/>
    </w:lvl>
  </w:abstractNum>
  <w:abstractNum w:abstractNumId="531">
    <w:nsid w:val="66D021CA"/>
    <w:multiLevelType w:val="hybridMultilevel"/>
    <w:lvl w:ilvl="0">
      <w:lvlJc w:val="left"/>
      <w:lvlText w:val="%1."/>
      <w:numFmt w:val="decimal"/>
      <w:start w:val="4"/>
    </w:lvl>
  </w:abstractNum>
  <w:abstractNum w:abstractNumId="532">
    <w:nsid w:val="56167394"/>
    <w:multiLevelType w:val="hybridMultilevel"/>
    <w:lvl w:ilvl="0">
      <w:lvlJc w:val="left"/>
      <w:lvlText w:val="%1."/>
      <w:numFmt w:val="decimal"/>
      <w:start w:val="5"/>
    </w:lvl>
  </w:abstractNum>
  <w:abstractNum w:abstractNumId="533">
    <w:nsid w:val="921145C"/>
    <w:multiLevelType w:val="hybridMultilevel"/>
    <w:lvl w:ilvl="0">
      <w:lvlJc w:val="left"/>
      <w:lvlText w:val="%1."/>
      <w:numFmt w:val="decimal"/>
      <w:start w:val="6"/>
    </w:lvl>
  </w:abstractNum>
  <w:abstractNum w:abstractNumId="534">
    <w:nsid w:val="7B34DF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jpe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jpe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jpeg"/><Relationship Id="rId470" Type="http://schemas.openxmlformats.org/officeDocument/2006/relationships/image" Target="media/image457.jpeg"/><Relationship Id="rId471" Type="http://schemas.openxmlformats.org/officeDocument/2006/relationships/image" Target="media/image458.jpeg"/><Relationship Id="rId472" Type="http://schemas.openxmlformats.org/officeDocument/2006/relationships/image" Target="media/image459.jpe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jpe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jpeg"/><Relationship Id="rId486" Type="http://schemas.openxmlformats.org/officeDocument/2006/relationships/image" Target="media/image473.jpe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jpe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jpeg"/><Relationship Id="rId507" Type="http://schemas.openxmlformats.org/officeDocument/2006/relationships/image" Target="media/image494.jpe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jpeg"/><Relationship Id="rId519" Type="http://schemas.openxmlformats.org/officeDocument/2006/relationships/image" Target="media/image506.png"/><Relationship Id="rId520" Type="http://schemas.openxmlformats.org/officeDocument/2006/relationships/image" Target="media/image507.jpeg"/><Relationship Id="rId521" Type="http://schemas.openxmlformats.org/officeDocument/2006/relationships/image" Target="media/image508.png"/><Relationship Id="rId522" Type="http://schemas.openxmlformats.org/officeDocument/2006/relationships/image" Target="media/image509.jpeg"/><Relationship Id="rId523" Type="http://schemas.openxmlformats.org/officeDocument/2006/relationships/image" Target="media/image510.png"/><Relationship Id="rId524" Type="http://schemas.openxmlformats.org/officeDocument/2006/relationships/image" Target="media/image511.jpeg"/><Relationship Id="rId525" Type="http://schemas.openxmlformats.org/officeDocument/2006/relationships/image" Target="media/image512.png"/><Relationship Id="rId526" Type="http://schemas.openxmlformats.org/officeDocument/2006/relationships/image" Target="media/image513.jpeg"/><Relationship Id="rId527" Type="http://schemas.openxmlformats.org/officeDocument/2006/relationships/image" Target="media/image514.png"/><Relationship Id="rId528" Type="http://schemas.openxmlformats.org/officeDocument/2006/relationships/image" Target="media/image515.jpeg"/><Relationship Id="rId529" Type="http://schemas.openxmlformats.org/officeDocument/2006/relationships/image" Target="media/image516.png"/><Relationship Id="rId530" Type="http://schemas.openxmlformats.org/officeDocument/2006/relationships/image" Target="media/image517.jpeg"/><Relationship Id="rId531" Type="http://schemas.openxmlformats.org/officeDocument/2006/relationships/image" Target="media/image518.png"/><Relationship Id="rId532" Type="http://schemas.openxmlformats.org/officeDocument/2006/relationships/image" Target="media/image519.jpeg"/><Relationship Id="rId533" Type="http://schemas.openxmlformats.org/officeDocument/2006/relationships/image" Target="media/image520.png"/><Relationship Id="rId534" Type="http://schemas.openxmlformats.org/officeDocument/2006/relationships/image" Target="media/image521.jpeg"/><Relationship Id="rId535" Type="http://schemas.openxmlformats.org/officeDocument/2006/relationships/image" Target="media/image522.png"/><Relationship Id="rId536" Type="http://schemas.openxmlformats.org/officeDocument/2006/relationships/image" Target="media/image523.jpeg"/><Relationship Id="rId537" Type="http://schemas.openxmlformats.org/officeDocument/2006/relationships/image" Target="media/image524.png"/><Relationship Id="rId538" Type="http://schemas.openxmlformats.org/officeDocument/2006/relationships/image" Target="media/image525.jpeg"/><Relationship Id="rId539" Type="http://schemas.openxmlformats.org/officeDocument/2006/relationships/image" Target="media/image526.png"/><Relationship Id="rId540" Type="http://schemas.openxmlformats.org/officeDocument/2006/relationships/image" Target="media/image527.jpeg"/><Relationship Id="rId541" Type="http://schemas.openxmlformats.org/officeDocument/2006/relationships/image" Target="media/image528.png"/><Relationship Id="rId542" Type="http://schemas.openxmlformats.org/officeDocument/2006/relationships/image" Target="media/image529.jpeg"/><Relationship Id="rId543" Type="http://schemas.openxmlformats.org/officeDocument/2006/relationships/image" Target="media/image530.pn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pn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165" Type="http://schemas.openxmlformats.org/officeDocument/2006/relationships/hyperlink" Target="https://www.sec.gov/Archives/edgar/data/1493318/000121390025044406/ea024222501ex3-1_etoro.htm" TargetMode="External"/><Relationship Id="rId166" Type="http://schemas.openxmlformats.org/officeDocument/2006/relationships/hyperlink" Target="https://www.sec.gov/Archives/edgar/data/1493318/000121390025044406/ea024222501ex4-1_etoro.htm" TargetMode="External"/><Relationship Id="rId167" Type="http://schemas.openxmlformats.org/officeDocument/2006/relationships/hyperlink" Target="https://www.sec.gov/Archives/edgar/data/1493318/000121390025028171/ea022353409ex10-1_etoro.htm" TargetMode="External"/><Relationship Id="rId168" Type="http://schemas.openxmlformats.org/officeDocument/2006/relationships/hyperlink" Target="https://www.sec.gov/Archives/edgar/data/1493318/000121390025028171/ea022353409ex10-2_etoro.htm" TargetMode="External"/><Relationship Id="rId169" Type="http://schemas.openxmlformats.org/officeDocument/2006/relationships/hyperlink" Target="https://www.sec.gov/Archives/edgar/data/1493318/000121390025045960/ea024234701ex4-3_etoro.htm" TargetMode="External"/><Relationship Id="rId170" Type="http://schemas.openxmlformats.org/officeDocument/2006/relationships/hyperlink" Target="https://www.sec.gov/Archives/edgar/data/1493318/000121390025045960/ea024234701ex4-4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2026-03-02T08:32:05Z</dcterms:created>
  <dcterms:modified xsi:type="dcterms:W3CDTF">2026-03-02T08:32:05Z</dcterms:modified>
</cp:coreProperties>
</file>