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0000FF"/>
        </w:rPr>
        <w:t>eToro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Shares, no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Alexa Lyons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Chief Financial Officer, 200 Clarendon Street, Floor 59</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617-830-2000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Spark Capital II,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3,559,007.00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3,559,007.00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3,559,007.00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SC II (as defined in Item 2(a) of the Original 13D (as defined in Item 1 below)) and</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consist of 3,559,007 Class A Common Shares. SMP II GP (as defined in Item 2(a) of the Original 13D) is the general</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partner of SC II and may be deemed to have voting, investment and dispositive power with respect to these securities.</w:t>
            </w:r>
          </w:p>
        </w:tc>
      </w:tr>
    </w:tbl>
    <w:p>
      <w:pPr>
        <w:jc w:val="both"/>
        <w:ind w:right="20"/>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Santo Politi, a member of the Issuer's board of directors, is the managing member of SMP II GP and may be deemed to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share voting, investment and dispositive power with respect to these securities. Based on 66,806,610 Class A Common</w:t>
      </w:r>
    </w:p>
    <w:p>
      <w:pPr>
        <w:ind w:left="920"/>
        <w:spacing w:after="0" w:line="237" w:lineRule="auto"/>
        <w:rPr>
          <w:sz w:val="20"/>
          <w:szCs w:val="20"/>
          <w:color w:val="auto"/>
        </w:rPr>
      </w:pPr>
      <w:r>
        <w:rPr>
          <w:rFonts w:ascii="Times New Roman" w:cs="Times New Roman" w:eastAsia="Times New Roman" w:hAnsi="Times New Roman"/>
          <w:sz w:val="22"/>
          <w:szCs w:val="22"/>
          <w:color w:val="auto"/>
        </w:rPr>
        <w:t>Shares outstanding as of April 15, 2026, reported by the Issuer in Exhibit 99.1 to its Report on Form 6-K filed with the Securities and Exchange Commission on April 21, 2026.</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Spark Capital Founders'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ectPr>
          <w:pgSz w:w="11900" w:h="16838" w:orient="portrait"/>
          <w:cols w:equalWidth="0" w:num="1">
            <w:col w:w="11240"/>
          </w:cols>
          <w:pgMar w:left="320" w:top="126" w:right="339" w:bottom="0" w:gutter="0" w:footer="0" w:header="0"/>
        </w:sectPr>
      </w:pPr>
    </w:p>
    <w:bookmarkStart w:id="2" w:name="page3"/>
    <w:bookmarkEnd w:id="2"/>
    <w:p>
      <w:pPr>
        <w:spacing w:after="0" w:line="7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23,280.00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23,280.00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23,280.00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SCFF II and consist of 23,280 Class A Common Shares. SMP II GP is the general</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partner of SCFF II and may be deemed to have voting, investment and dispositive power with respect to these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securities. Santo Politi, a member of the Issuer's board of directors, is the managing member of SMP II GP and may be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deemed to share voting, investment and dispositive power with respect to these securities. Based on 66,806,610 Class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A Common Shares outstanding as of April 15, 2026, reported by the Issuer in Exhibit 99.1 to its Report on Form 6-K</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filed with the Securities and Exchange Commission on April 21,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Spark Management Partners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7  Sole Voting Power</w:t>
      </w:r>
    </w:p>
    <w:p>
      <w:pPr>
        <w:sectPr>
          <w:pgSz w:w="11900" w:h="16912" w:orient="portrait"/>
          <w:cols w:equalWidth="0" w:num="1">
            <w:col w:w="11240"/>
          </w:cols>
          <w:pgMar w:left="320" w:top="111" w:right="339" w:bottom="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3,582,287.00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3,582,287.00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3,582,287.00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3,559,007 Class A Common Shares held of record by SC II and (ii) 23,280 Class A Common Shares</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held of record by SCFF II. SMP II GP is the general partner of each of SC II and SCFF II and may be deemed to have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voting, investment and dispositive power with respect to these securities. Santo Politi, a member of the Issuer's board</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of directors, is the managing member of SMP II GP and may be deemed to share voting, investment and dispositive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power with respect to these securities. Based on 66,806,610 Class A Common Shares outstanding as of April 15, 2026,</w:t>
      </w:r>
    </w:p>
    <w:p>
      <w:pPr>
        <w:spacing w:after="0" w:line="2" w:lineRule="exact"/>
        <w:rPr>
          <w:sz w:val="20"/>
          <w:szCs w:val="20"/>
          <w:color w:val="auto"/>
        </w:rPr>
      </w:pPr>
    </w:p>
    <w:p>
      <w:pPr>
        <w:ind w:left="920" w:right="20"/>
        <w:spacing w:after="0" w:line="237" w:lineRule="auto"/>
        <w:rPr>
          <w:sz w:val="20"/>
          <w:szCs w:val="20"/>
          <w:color w:val="auto"/>
        </w:rPr>
      </w:pPr>
      <w:r>
        <w:rPr>
          <w:rFonts w:ascii="Times New Roman" w:cs="Times New Roman" w:eastAsia="Times New Roman" w:hAnsi="Times New Roman"/>
          <w:sz w:val="22"/>
          <w:szCs w:val="22"/>
          <w:color w:val="auto"/>
        </w:rPr>
        <w:t>reported by the Issuer in Exhibit 99.1 to its Report on Form 6-K filed with the Securities and Exchange Commission on April 21, 2026.</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Spark Capital Partners,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sectPr>
      </w:pPr>
    </w:p>
    <w:bookmarkStart w:id="4" w:name="page5"/>
    <w:bookmarkEnd w:id="4"/>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Santo Politi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2,107.00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3,582,287.00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2,107.00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3,582,287.00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3,584,394.00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355" w:right="1440" w:bottom="0" w:gutter="0" w:footer="0" w:header="0"/>
          <w:type w:val="continuous"/>
        </w:sectPr>
      </w:pPr>
    </w:p>
    <w:bookmarkStart w:id="5" w:name="page6"/>
    <w:bookmarkEnd w:id="5"/>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5.4 %</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3,559,007 Class A Common Shares held of record by SC II, (ii) 23,280 Class A Common Shares held of</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0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record by SCFF II, and (iii) 2,107 Class A Common Shares held of record by Santo Politi. SMP II GP is the general</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partner of each of SC II and SCFF II and may be deemed to have voting, investment and dispositive power with</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respect to the securities held by SC II and SCFF II. Santo Politi, a member of the Issuer's board of directors, is the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managing member of SMP II GP and SCP and may be deemed to share voting, investment and dispositive power with</w:t>
      </w:r>
    </w:p>
    <w:p>
      <w:pPr>
        <w:spacing w:after="0" w:line="2"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respect to these securities. Based on 66,806,610 Class A Common Shares outstanding as of April 15, 2026, reported by the Issuer in Exhibit 99.1 to its Report on Form 6-K filed with the Securities and Exchange Commission on April 21,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Shares, no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eToro Group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30 Sheshet Hayamim St., Bnei Brak, ISRAEL , 5120261.</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Explanatory Note: This Amendment No. 3 (this Amendment) amends and supplements the Schedule 13D originally</w:t>
      </w:r>
    </w:p>
    <w:p>
      <w:pPr>
        <w:spacing w:after="0" w:line="18" w:lineRule="exact"/>
        <w:rPr>
          <w:sz w:val="20"/>
          <w:szCs w:val="20"/>
          <w:color w:val="auto"/>
        </w:rPr>
      </w:pPr>
    </w:p>
    <w:p>
      <w:pPr>
        <w:jc w:val="both"/>
        <w:ind w:left="1000" w:right="40" w:hanging="951"/>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filed by the Reporting Persons with the SEC on May 21, 2025 and amended by that Amendment No. 1 filed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Reporting Persons with the SEC on November 13, 2025 and by the Amendment No. 2 filed by the Reporting Persons with the SEC on February 26, 2026 (collectively, the Original Schedule 13D).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Amendment have the meanings ascribed to them in the Original Schedule 13D.</w:t>
      </w:r>
    </w:p>
    <w:p>
      <w:pPr>
        <w:spacing w:after="0" w:line="1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140"/>
        <w:spacing w:after="0" w:line="249" w:lineRule="auto"/>
        <w:rPr>
          <w:sz w:val="20"/>
          <w:szCs w:val="20"/>
          <w:color w:val="auto"/>
        </w:rPr>
      </w:pPr>
      <w:r>
        <w:rPr>
          <w:rFonts w:ascii="Times New Roman" w:cs="Times New Roman" w:eastAsia="Times New Roman" w:hAnsi="Times New Roman"/>
          <w:sz w:val="21"/>
          <w:szCs w:val="21"/>
          <w:color w:val="auto"/>
        </w:rPr>
        <w:t>This Statement is being filed by Spark Capital II, L.P. (SC II), Spark Capital Founders' Fund II, L.P. (SCFF II), Spark Management Partners II, LLC (SMP II GP), Spark Capital Partners, LLC (SCP, and together with SC II, SCFF II, SMP II GP, the Reporting Entities) and Santo Politi (the Reporting Individual), a member of the Issuer's board of</w:t>
      </w:r>
    </w:p>
    <w:p>
      <w:pPr>
        <w:spacing w:after="0" w:line="1" w:lineRule="exact"/>
        <w:rPr>
          <w:sz w:val="20"/>
          <w:szCs w:val="20"/>
          <w:color w:val="auto"/>
        </w:rPr>
      </w:pPr>
    </w:p>
    <w:p>
      <w:pPr>
        <w:ind w:left="960" w:right="120" w:hanging="912"/>
        <w:spacing w:after="0" w:line="196" w:lineRule="auto"/>
        <w:tabs>
          <w:tab w:leader="none" w:pos="96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directors. The Reporting Entities and Reporting Individual are collectively referred to as the Reporting Persons. The agreement among the Reporting Persons to file jointly in accordance with the provisions of Rule 13d-1(k)(1) under the Act is attached hereto as Exhibit 1. Each Reporting Person disclaims beneficial ownership of all securities reported in this Statement except to the extent of such Reporting Person's pecuniary interest therein, if any, other than those securities reported herein as being held directly by such Reporting Person.</w:t>
      </w:r>
    </w:p>
    <w:p>
      <w:pPr>
        <w:spacing w:after="0" w:line="14" w:lineRule="exact"/>
        <w:rPr>
          <w:rFonts w:ascii="Times New Roman" w:cs="Times New Roman" w:eastAsia="Times New Roman" w:hAnsi="Times New Roman"/>
          <w:sz w:val="43"/>
          <w:szCs w:val="43"/>
          <w:color w:val="auto"/>
          <w:vertAlign w:val="subscript"/>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2(b) of the Original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2(c) of the Original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2(d) of the Original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2(e) of the Original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2(f) of the Original 13D is incorporated herein by reference.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information set forth in Item 3 of the Original 13D is incorporated herein by reference.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information set forth in Item 4 of the Original 13D is incorporated herein by reference.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800" w:hanging="912"/>
        <w:spacing w:after="0" w:line="185" w:lineRule="auto"/>
        <w:tabs>
          <w:tab w:leader="none" w:pos="96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Items 7-11 of the cover pages of this Amendment No. 3. The information reported on such cover pages is reported as of May 14, 2026.</w:t>
      </w:r>
    </w:p>
    <w:p>
      <w:pPr>
        <w:spacing w:after="0" w:line="17" w:lineRule="exact"/>
        <w:rPr>
          <w:rFonts w:ascii="Times New Roman" w:cs="Times New Roman" w:eastAsia="Times New Roman" w:hAnsi="Times New Roman"/>
          <w:sz w:val="39"/>
          <w:szCs w:val="39"/>
          <w:color w:val="auto"/>
          <w:vertAlign w:val="subscript"/>
        </w:rPr>
      </w:pPr>
    </w:p>
    <w:p>
      <w:pPr>
        <w:ind w:left="960" w:right="800" w:hanging="912"/>
        <w:spacing w:after="0" w:line="185" w:lineRule="auto"/>
        <w:tabs>
          <w:tab w:leader="none" w:pos="96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Items 7-11 of the cover pages of this Amendment No. 3. The information reported on such cover pages is reported as of May 14, 2026.</w:t>
      </w:r>
    </w:p>
    <w:p>
      <w:pPr>
        <w:spacing w:after="0" w:line="17" w:lineRule="exact"/>
        <w:rPr>
          <w:rFonts w:ascii="Times New Roman" w:cs="Times New Roman" w:eastAsia="Times New Roman" w:hAnsi="Times New Roman"/>
          <w:sz w:val="39"/>
          <w:szCs w:val="39"/>
          <w:color w:val="auto"/>
          <w:vertAlign w:val="subscript"/>
        </w:rPr>
      </w:pPr>
    </w:p>
    <w:p>
      <w:pPr>
        <w:ind w:left="960" w:right="160" w:hanging="912"/>
        <w:spacing w:after="0" w:line="251" w:lineRule="auto"/>
        <w:tabs>
          <w:tab w:leader="none" w:pos="96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May 14, 2026, SC II effected a pro rata distribution without additional consideration of 1,779,504 shares of Class A Common Shares to SMP II GP and its limited partners. On May 14, 2026, SCFF II effected a pro rata distribution without additional consideration of 11,640 shares of Class A Common Shares to SMP II GP and its limited partners. On May 14, 2026, SMP II GP effected a pro rata distribution without additional consideration of the shares that it received in connection with such distributions from SC II and SCFF II to its members, including SCP. On May 14,</w:t>
      </w:r>
    </w:p>
    <w:p>
      <w:pPr>
        <w:sectPr>
          <w:pgSz w:w="11900" w:h="16938" w:orient="portrait"/>
          <w:cols w:equalWidth="0" w:num="1">
            <w:col w:w="11240"/>
          </w:cols>
          <w:pgMar w:left="320" w:top="111" w:right="339" w:bottom="0" w:gutter="0" w:footer="0" w:header="0"/>
        </w:sectPr>
      </w:pPr>
    </w:p>
    <w:bookmarkStart w:id="6" w:name="page7"/>
    <w:bookmarkEnd w:id="6"/>
    <w:p>
      <w:pPr>
        <w:jc w:val="both"/>
        <w:ind w:left="920" w:right="100"/>
        <w:spacing w:after="0" w:line="244" w:lineRule="auto"/>
        <w:rPr>
          <w:sz w:val="20"/>
          <w:szCs w:val="20"/>
          <w:color w:val="auto"/>
        </w:rPr>
      </w:pPr>
      <w:r>
        <w:rPr>
          <w:rFonts w:ascii="Times New Roman" w:cs="Times New Roman" w:eastAsia="Times New Roman" w:hAnsi="Times New Roman"/>
          <w:sz w:val="22"/>
          <w:szCs w:val="22"/>
          <w:color w:val="auto"/>
        </w:rPr>
        <w:t>2026, as a result of the pro rata distribution described in the immediately preceding sentence, SCP became the holder of record of 2,892 shares of Class A Common Shares. On May 14, 2026, SCP sold 2,892 shares of Class A Common Shares at a weighted average price of $41.036 for aggregate proceeds of $118,676.11.</w:t>
      </w:r>
    </w:p>
    <w:p>
      <w:pPr>
        <w:spacing w:after="0" w:line="12"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5(d) of the Original 13D is incorporated herein by reference.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660" w:hanging="917"/>
        <w:spacing w:after="0" w:line="295" w:lineRule="auto"/>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 The information set forth in Item 6 of the Original 13D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Spark Capital II, L.P.</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 Lyons</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Alexa Lyons, Authorized Signatory</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Spark Capital Founders' Fund II, L.P.</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 Lyons</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Alexa Lyons, Authorized Signatory</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Spark Management Partners II,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 Lyons</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Alexa Lyons, Authorized Signatory</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Spark Capital Partners,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 Lyons</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Alexa Lyons, Authorized Signatory</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Santo Politi</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 Lyons</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Attorney-in-Fact for Santo Politi</w:t>
      </w:r>
    </w:p>
    <w:p>
      <w:pPr>
        <w:spacing w:after="0" w:line="44"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Comments accompanying signature: </w:t>
      </w:r>
      <w:r>
        <w:rPr>
          <w:rFonts w:ascii="Times New Roman" w:cs="Times New Roman" w:eastAsia="Times New Roman" w:hAnsi="Times New Roman"/>
          <w:sz w:val="21"/>
          <w:szCs w:val="21"/>
          <w:color w:val="auto"/>
        </w:rPr>
        <w:t>Signed pursuant to a Power of Attorney already on file with the appropriate agencies.</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5"/>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3"/>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2026-05-15T16:42:02Z</dcterms:created>
  <dcterms:modified xsi:type="dcterms:W3CDTF">2026-05-15T16:42:02Z</dcterms:modified>
</cp:coreProperties>
</file>